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79" w:rsidRPr="00F90996" w:rsidRDefault="00CB262A" w:rsidP="0085605D">
      <w:pPr>
        <w:spacing w:after="0"/>
        <w:rPr>
          <w:rFonts w:ascii="Comic Sans MS" w:hAnsi="Comic Sans MS" w:cs="Arial"/>
          <w:noProof/>
          <w:sz w:val="20"/>
          <w:szCs w:val="20"/>
          <w:lang w:eastAsia="en-GB"/>
        </w:rPr>
      </w:pPr>
      <w:r w:rsidRPr="00CB262A">
        <w:rPr>
          <w:rFonts w:ascii="Comic Sans MS" w:hAnsi="Comic Sans MS" w:cs="Arial"/>
          <w:b/>
          <w:noProof/>
          <w:sz w:val="20"/>
          <w:szCs w:val="20"/>
          <w:lang w:eastAsia="en-GB"/>
        </w:rPr>
        <w:pict>
          <v:shapetype id="_x0000_t202" coordsize="21600,21600" o:spt="202" path="m,l,21600r21600,l21600,xe">
            <v:stroke joinstyle="miter"/>
            <v:path gradientshapeok="t" o:connecttype="rect"/>
          </v:shapetype>
          <v:shape id="Text Box 2" o:spid="_x0000_s1026" type="#_x0000_t202" style="position:absolute;margin-left:159pt;margin-top:61.2pt;width:120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">
            <v:textbox>
              <w:txbxContent>
                <w:p w:rsidR="0085605D" w:rsidRDefault="0085605D" w:rsidP="00F90996">
                  <w:pPr>
                    <w:jc w:val="center"/>
                  </w:pPr>
                  <w:r w:rsidRPr="0085605D">
                    <w:rPr>
                      <w:rFonts w:ascii="Comic Sans MS" w:hAnsi="Comic Sans MS"/>
                      <w:b/>
                      <w:sz w:val="18"/>
                      <w:szCs w:val="18"/>
                    </w:rPr>
                    <w:t>The Learning Disability Professional</w:t>
                  </w:r>
                  <w:r>
                    <w:t xml:space="preserve"> </w:t>
                  </w:r>
                  <w:r w:rsidRPr="0085605D">
                    <w:rPr>
                      <w:rFonts w:ascii="Comic Sans MS" w:hAnsi="Comic Sans MS"/>
                      <w:b/>
                      <w:sz w:val="18"/>
                      <w:szCs w:val="18"/>
                    </w:rPr>
                    <w:t>Senate</w:t>
                  </w:r>
                </w:p>
              </w:txbxContent>
            </v:textbox>
          </v:shape>
        </w:pict>
      </w:r>
      <w:r w:rsidR="00350C79">
        <w:rPr>
          <w:rFonts w:ascii="Comic Sans MS" w:hAnsi="Comic Sans MS" w:cs="Arial"/>
          <w:b/>
          <w:noProof/>
          <w:sz w:val="20"/>
          <w:szCs w:val="20"/>
          <w:lang w:eastAsia="en-GB"/>
        </w:rPr>
        <w:t xml:space="preserve"> </w:t>
      </w:r>
      <w:r w:rsidR="00350C79">
        <w:rPr>
          <w:noProof/>
          <w:color w:val="1F497D"/>
          <w:lang w:eastAsia="en-GB"/>
        </w:rPr>
        <w:t xml:space="preserve">                                                                         </w:t>
      </w:r>
      <w:r w:rsidR="00F90996">
        <w:rPr>
          <w:rFonts w:ascii="Comic Sans MS" w:hAnsi="Comic Sans MS" w:cs="Arial"/>
          <w:b/>
          <w:noProof/>
          <w:sz w:val="20"/>
          <w:szCs w:val="20"/>
          <w:lang w:eastAsia="en-GB"/>
        </w:rPr>
        <w:drawing>
          <wp:inline distT="0" distB="0" distL="0" distR="0">
            <wp:extent cx="771525" cy="9334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ate 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3210" cy="935489"/>
                    </a:xfrm>
                    <a:prstGeom prst="rect">
                      <a:avLst/>
                    </a:prstGeom>
                  </pic:spPr>
                </pic:pic>
              </a:graphicData>
            </a:graphic>
          </wp:inline>
        </w:drawing>
      </w:r>
    </w:p>
    <w:p w:rsidR="00350C79" w:rsidRPr="00DF5EFC" w:rsidRDefault="00350C79" w:rsidP="0085605D">
      <w:pPr>
        <w:spacing w:before="240" w:after="0"/>
        <w:rPr>
          <w:rFonts w:ascii="Comic Sans MS" w:hAnsi="Comic Sans MS" w:cs="Arial"/>
          <w:b/>
          <w:noProof/>
          <w:szCs w:val="20"/>
          <w:lang w:eastAsia="en-GB"/>
        </w:rPr>
      </w:pPr>
      <w:r>
        <w:rPr>
          <w:rFonts w:ascii="Comic Sans MS" w:hAnsi="Comic Sans MS" w:cs="Arial"/>
          <w:b/>
          <w:noProof/>
          <w:szCs w:val="20"/>
          <w:lang w:eastAsia="en-GB"/>
        </w:rPr>
        <w:t xml:space="preserve">                </w:t>
      </w:r>
      <w:r w:rsidRPr="00DF5EFC">
        <w:rPr>
          <w:rFonts w:ascii="Comic Sans MS" w:hAnsi="Comic Sans MS" w:cs="Arial"/>
          <w:b/>
          <w:noProof/>
          <w:szCs w:val="20"/>
          <w:lang w:eastAsia="en-GB"/>
        </w:rPr>
        <w:t xml:space="preserve"> </w:t>
      </w:r>
    </w:p>
    <w:p w:rsidR="00350C79" w:rsidRDefault="00350C79" w:rsidP="0085605D">
      <w:pPr>
        <w:spacing w:after="0"/>
        <w:rPr>
          <w:rFonts w:ascii="Comic Sans MS" w:hAnsi="Comic Sans MS" w:cs="Arial"/>
          <w:b/>
          <w:noProof/>
          <w:sz w:val="20"/>
          <w:szCs w:val="20"/>
          <w:lang w:eastAsia="en-GB"/>
        </w:rPr>
      </w:pPr>
      <w:r>
        <w:rPr>
          <w:rFonts w:ascii="Comic Sans MS" w:hAnsi="Comic Sans MS" w:cs="Arial"/>
          <w:b/>
          <w:noProof/>
          <w:sz w:val="20"/>
          <w:szCs w:val="20"/>
          <w:lang w:eastAsia="en-GB"/>
        </w:rPr>
        <w:t xml:space="preserve">                                           </w:t>
      </w:r>
      <w:r w:rsidR="002C1AAF">
        <w:rPr>
          <w:rFonts w:ascii="Comic Sans MS" w:hAnsi="Comic Sans MS" w:cs="Arial"/>
          <w:b/>
          <w:noProof/>
          <w:sz w:val="20"/>
          <w:szCs w:val="20"/>
          <w:lang w:eastAsia="en-GB"/>
        </w:rPr>
        <w:t xml:space="preserve">  </w:t>
      </w:r>
      <w:r w:rsidR="004E570D">
        <w:rPr>
          <w:rFonts w:ascii="Comic Sans MS" w:hAnsi="Comic Sans MS" w:cs="Arial"/>
          <w:b/>
          <w:noProof/>
          <w:sz w:val="20"/>
          <w:szCs w:val="20"/>
          <w:lang w:eastAsia="en-GB"/>
        </w:rPr>
        <w:t xml:space="preserve"> </w:t>
      </w:r>
      <w:r w:rsidR="00DF5EFC">
        <w:rPr>
          <w:rFonts w:ascii="Arial" w:hAnsi="Arial" w:cs="Arial"/>
          <w:b/>
          <w:noProof/>
          <w:sz w:val="52"/>
          <w:szCs w:val="52"/>
          <w:lang w:eastAsia="en-GB"/>
        </w:rPr>
        <w:t xml:space="preserve">  </w:t>
      </w:r>
      <w:r w:rsidR="002C1AAF">
        <w:rPr>
          <w:rFonts w:ascii="Comic Sans MS" w:hAnsi="Comic Sans MS" w:cs="Arial"/>
          <w:b/>
          <w:noProof/>
          <w:sz w:val="20"/>
          <w:szCs w:val="20"/>
          <w:lang w:eastAsia="en-GB"/>
        </w:rPr>
        <w:t xml:space="preserve"> </w:t>
      </w:r>
      <w:r w:rsidR="00DF5EFC">
        <w:rPr>
          <w:rFonts w:ascii="Comic Sans MS" w:hAnsi="Comic Sans MS" w:cs="Arial"/>
          <w:b/>
          <w:noProof/>
          <w:sz w:val="20"/>
          <w:szCs w:val="20"/>
          <w:lang w:eastAsia="en-GB"/>
        </w:rPr>
        <w:t xml:space="preserve">    </w:t>
      </w:r>
      <w:r>
        <w:rPr>
          <w:rFonts w:ascii="Comic Sans MS" w:hAnsi="Comic Sans MS" w:cs="Arial"/>
          <w:b/>
          <w:noProof/>
          <w:sz w:val="20"/>
          <w:szCs w:val="20"/>
          <w:lang w:eastAsia="en-GB"/>
        </w:rPr>
        <w:t xml:space="preserve">     </w:t>
      </w:r>
    </w:p>
    <w:p w:rsidR="00D83BB4" w:rsidRDefault="00D83BB4" w:rsidP="00350C79">
      <w:pPr>
        <w:spacing w:after="0"/>
        <w:jc w:val="center"/>
        <w:rPr>
          <w:rFonts w:ascii="Comic Sans MS" w:hAnsi="Comic Sans MS" w:cs="Arial"/>
          <w:b/>
          <w:noProof/>
          <w:sz w:val="20"/>
          <w:szCs w:val="20"/>
          <w:lang w:eastAsia="en-GB"/>
        </w:rPr>
      </w:pPr>
    </w:p>
    <w:p w:rsidR="00D83BB4" w:rsidRPr="00DF5EFC" w:rsidRDefault="00CB262A" w:rsidP="00C808AD">
      <w:pPr>
        <w:spacing w:after="0"/>
        <w:rPr>
          <w:rFonts w:ascii="Comic Sans MS" w:hAnsi="Comic Sans MS" w:cs="Arial"/>
          <w:b/>
          <w:noProof/>
          <w:szCs w:val="20"/>
          <w:lang w:eastAsia="en-GB"/>
        </w:rPr>
      </w:pPr>
      <w:r>
        <w:rPr>
          <w:rFonts w:ascii="Comic Sans MS" w:hAnsi="Comic Sans MS" w:cs="Arial"/>
          <w:b/>
          <w:noProof/>
          <w:szCs w:val="20"/>
          <w:lang w:eastAsia="en-GB"/>
        </w:rPr>
        <w:pict>
          <v:shape id="_x0000_s1027" type="#_x0000_t202" style="position:absolute;margin-left:0;margin-top:0;width:349.5pt;height:18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">
            <v:textbox>
              <w:txbxContent>
                <w:p w:rsidR="00350C79" w:rsidRPr="00350C79" w:rsidRDefault="00350C79" w:rsidP="00350C79">
                  <w:pPr>
                    <w:jc w:val="center"/>
                    <w:rPr>
                      <w:rFonts w:ascii="Arial" w:hAnsi="Arial" w:cs="Arial"/>
                      <w:b/>
                      <w:sz w:val="36"/>
                      <w:szCs w:val="36"/>
                    </w:rPr>
                  </w:pPr>
                  <w:r w:rsidRPr="00350C79">
                    <w:rPr>
                      <w:rFonts w:ascii="Arial" w:hAnsi="Arial" w:cs="Arial"/>
                      <w:b/>
                      <w:sz w:val="36"/>
                      <w:szCs w:val="36"/>
                    </w:rPr>
                    <w:t>STOMP*</w:t>
                  </w:r>
                </w:p>
                <w:p w:rsidR="00350C79" w:rsidRPr="00350C79" w:rsidRDefault="00350C79" w:rsidP="00350C79">
                  <w:pPr>
                    <w:jc w:val="center"/>
                    <w:rPr>
                      <w:rFonts w:ascii="Arial" w:hAnsi="Arial" w:cs="Arial"/>
                      <w:b/>
                      <w:sz w:val="36"/>
                      <w:szCs w:val="36"/>
                    </w:rPr>
                  </w:pPr>
                  <w:r w:rsidRPr="00350C79">
                    <w:rPr>
                      <w:rFonts w:ascii="Arial" w:hAnsi="Arial" w:cs="Arial"/>
                      <w:b/>
                      <w:sz w:val="36"/>
                      <w:szCs w:val="36"/>
                    </w:rPr>
                    <w:t>Pledge for Allied Health Professions</w:t>
                  </w:r>
                </w:p>
                <w:p w:rsidR="00350C79" w:rsidRPr="00350C79" w:rsidRDefault="00350C79" w:rsidP="00350C79">
                  <w:pPr>
                    <w:jc w:val="center"/>
                    <w:rPr>
                      <w:rFonts w:ascii="Arial" w:hAnsi="Arial" w:cs="Arial"/>
                      <w:b/>
                      <w:sz w:val="36"/>
                      <w:szCs w:val="36"/>
                    </w:rPr>
                  </w:pPr>
                </w:p>
                <w:p w:rsidR="00350C79" w:rsidRPr="00350C79" w:rsidRDefault="00350C79" w:rsidP="00350C79">
                  <w:pPr>
                    <w:jc w:val="center"/>
                    <w:rPr>
                      <w:rFonts w:ascii="Arial" w:hAnsi="Arial" w:cs="Arial"/>
                      <w:b/>
                      <w:sz w:val="36"/>
                      <w:szCs w:val="36"/>
                    </w:rPr>
                  </w:pPr>
                  <w:r w:rsidRPr="00350C79">
                    <w:rPr>
                      <w:rFonts w:ascii="Arial" w:hAnsi="Arial" w:cs="Arial"/>
                      <w:b/>
                      <w:sz w:val="36"/>
                      <w:szCs w:val="36"/>
                    </w:rPr>
                    <w:t>Stopping Over- Medication of People with a Learning Disability, Autism or Both</w:t>
                  </w:r>
                </w:p>
                <w:p w:rsidR="00350C79" w:rsidRDefault="00350C79"/>
              </w:txbxContent>
            </v:textbox>
          </v:shape>
        </w:pict>
      </w:r>
    </w:p>
    <w:tbl>
      <w:tblPr>
        <w:tblStyle w:val="TableGrid"/>
        <w:tblW w:w="9464" w:type="dxa"/>
        <w:tblInd w:w="-176" w:type="dxa"/>
        <w:tblLook w:val="04A0"/>
      </w:tblPr>
      <w:tblGrid>
        <w:gridCol w:w="4621"/>
        <w:gridCol w:w="4843"/>
      </w:tblGrid>
      <w:tr w:rsidR="00C808AD" w:rsidRPr="00DF5EFC" w:rsidTr="00F90996">
        <w:trPr>
          <w:trHeight w:val="1675"/>
        </w:trPr>
        <w:tc>
          <w:tcPr>
            <w:tcW w:w="4621" w:type="dxa"/>
            <w:tcBorders>
              <w:top w:val="nil"/>
              <w:left w:val="nil"/>
              <w:bottom w:val="nil"/>
              <w:right w:val="nil"/>
            </w:tcBorders>
          </w:tcPr>
          <w:p w:rsidR="00C808AD" w:rsidRDefault="00C808AD" w:rsidP="004E6A72">
            <w:pPr>
              <w:rPr>
                <w:rFonts w:ascii="Comic Sans MS" w:hAnsi="Comic Sans MS" w:cs="Arial"/>
                <w:b/>
                <w:noProof/>
                <w:szCs w:val="20"/>
                <w:lang w:eastAsia="en-GB"/>
              </w:rPr>
            </w:pPr>
          </w:p>
          <w:p w:rsidR="00F90996" w:rsidRDefault="00F90996" w:rsidP="004E6A72">
            <w:pPr>
              <w:rPr>
                <w:rFonts w:ascii="Comic Sans MS" w:hAnsi="Comic Sans MS" w:cs="Arial"/>
                <w:b/>
                <w:noProof/>
                <w:szCs w:val="20"/>
                <w:lang w:eastAsia="en-GB"/>
              </w:rPr>
            </w:pPr>
          </w:p>
          <w:p w:rsidR="00F90996" w:rsidRDefault="00F90996" w:rsidP="004E6A72">
            <w:pPr>
              <w:rPr>
                <w:rFonts w:ascii="Comic Sans MS" w:hAnsi="Comic Sans MS" w:cs="Arial"/>
                <w:b/>
                <w:noProof/>
                <w:szCs w:val="20"/>
                <w:lang w:eastAsia="en-GB"/>
              </w:rPr>
            </w:pPr>
          </w:p>
          <w:p w:rsidR="00F90996" w:rsidRDefault="00F90996" w:rsidP="004E6A72">
            <w:pPr>
              <w:rPr>
                <w:rFonts w:ascii="Comic Sans MS" w:hAnsi="Comic Sans MS" w:cs="Arial"/>
                <w:b/>
                <w:noProof/>
                <w:szCs w:val="20"/>
                <w:lang w:eastAsia="en-GB"/>
              </w:rPr>
            </w:pPr>
          </w:p>
          <w:p w:rsidR="00F90996" w:rsidRDefault="00F90996" w:rsidP="004E6A72">
            <w:pPr>
              <w:rPr>
                <w:rFonts w:ascii="Comic Sans MS" w:hAnsi="Comic Sans MS" w:cs="Arial"/>
                <w:b/>
                <w:noProof/>
                <w:szCs w:val="20"/>
                <w:lang w:eastAsia="en-GB"/>
              </w:rPr>
            </w:pPr>
          </w:p>
          <w:p w:rsidR="00F90996" w:rsidRDefault="00F90996" w:rsidP="004E6A72">
            <w:pPr>
              <w:rPr>
                <w:rFonts w:ascii="Comic Sans MS" w:hAnsi="Comic Sans MS" w:cs="Arial"/>
                <w:b/>
                <w:noProof/>
                <w:szCs w:val="20"/>
                <w:lang w:eastAsia="en-GB"/>
              </w:rPr>
            </w:pPr>
          </w:p>
          <w:p w:rsidR="00F90996" w:rsidRDefault="00F90996" w:rsidP="004E6A72">
            <w:pPr>
              <w:rPr>
                <w:rFonts w:ascii="Comic Sans MS" w:hAnsi="Comic Sans MS" w:cs="Arial"/>
                <w:b/>
                <w:noProof/>
                <w:szCs w:val="20"/>
                <w:lang w:eastAsia="en-GB"/>
              </w:rPr>
            </w:pPr>
          </w:p>
          <w:p w:rsidR="00F90996" w:rsidRDefault="00F90996" w:rsidP="004E6A72">
            <w:pPr>
              <w:rPr>
                <w:rFonts w:ascii="Comic Sans MS" w:hAnsi="Comic Sans MS" w:cs="Arial"/>
                <w:b/>
                <w:noProof/>
                <w:szCs w:val="20"/>
                <w:lang w:eastAsia="en-GB"/>
              </w:rPr>
            </w:pPr>
          </w:p>
          <w:p w:rsidR="00F90996" w:rsidRDefault="00F90996" w:rsidP="004E6A72">
            <w:pPr>
              <w:rPr>
                <w:rFonts w:ascii="Comic Sans MS" w:hAnsi="Comic Sans MS" w:cs="Arial"/>
                <w:b/>
                <w:noProof/>
                <w:szCs w:val="20"/>
                <w:lang w:eastAsia="en-GB"/>
              </w:rPr>
            </w:pPr>
          </w:p>
          <w:p w:rsidR="00F90996" w:rsidRDefault="00F90996" w:rsidP="004E6A72">
            <w:pPr>
              <w:rPr>
                <w:rFonts w:ascii="Comic Sans MS" w:hAnsi="Comic Sans MS" w:cs="Arial"/>
                <w:b/>
                <w:noProof/>
                <w:szCs w:val="20"/>
                <w:lang w:eastAsia="en-GB"/>
              </w:rPr>
            </w:pPr>
          </w:p>
          <w:p w:rsidR="00F90996" w:rsidRDefault="00F90996" w:rsidP="004E6A72">
            <w:pPr>
              <w:rPr>
                <w:rFonts w:ascii="Comic Sans MS" w:hAnsi="Comic Sans MS" w:cs="Arial"/>
                <w:b/>
                <w:noProof/>
                <w:szCs w:val="20"/>
                <w:lang w:eastAsia="en-GB"/>
              </w:rPr>
            </w:pPr>
          </w:p>
          <w:p w:rsidR="00F90996" w:rsidRDefault="00F90996" w:rsidP="004E6A72">
            <w:pPr>
              <w:rPr>
                <w:rFonts w:ascii="Comic Sans MS" w:hAnsi="Comic Sans MS" w:cs="Arial"/>
                <w:b/>
                <w:noProof/>
                <w:szCs w:val="20"/>
                <w:lang w:eastAsia="en-GB"/>
              </w:rPr>
            </w:pPr>
          </w:p>
          <w:p w:rsidR="00F90996" w:rsidRPr="00DF5EFC" w:rsidRDefault="00F90996" w:rsidP="004E6A72">
            <w:pPr>
              <w:rPr>
                <w:rFonts w:ascii="Comic Sans MS" w:hAnsi="Comic Sans MS" w:cs="Arial"/>
                <w:b/>
                <w:noProof/>
                <w:szCs w:val="20"/>
                <w:lang w:eastAsia="en-GB"/>
              </w:rPr>
            </w:pPr>
          </w:p>
        </w:tc>
        <w:tc>
          <w:tcPr>
            <w:tcW w:w="4843" w:type="dxa"/>
            <w:tcBorders>
              <w:top w:val="nil"/>
              <w:left w:val="nil"/>
              <w:bottom w:val="nil"/>
              <w:right w:val="nil"/>
            </w:tcBorders>
          </w:tcPr>
          <w:p w:rsidR="00C808AD" w:rsidRPr="00DF5EFC" w:rsidRDefault="00C808AD" w:rsidP="004E6A72">
            <w:pPr>
              <w:rPr>
                <w:rFonts w:ascii="Comic Sans MS" w:hAnsi="Comic Sans MS" w:cs="Arial"/>
                <w:b/>
                <w:noProof/>
                <w:szCs w:val="20"/>
                <w:lang w:eastAsia="en-GB"/>
              </w:rPr>
            </w:pPr>
          </w:p>
        </w:tc>
      </w:tr>
      <w:tr w:rsidR="00C808AD" w:rsidTr="00F90996">
        <w:trPr>
          <w:trHeight w:val="2075"/>
        </w:trPr>
        <w:tc>
          <w:tcPr>
            <w:tcW w:w="4621" w:type="dxa"/>
            <w:tcBorders>
              <w:top w:val="nil"/>
              <w:left w:val="nil"/>
              <w:bottom w:val="nil"/>
              <w:right w:val="nil"/>
            </w:tcBorders>
          </w:tcPr>
          <w:p w:rsidR="00F90996" w:rsidRDefault="00F90996" w:rsidP="004E6A72">
            <w:pPr>
              <w:rPr>
                <w:rFonts w:ascii="Comic Sans MS" w:hAnsi="Comic Sans MS" w:cs="Arial"/>
                <w:b/>
                <w:noProof/>
                <w:sz w:val="20"/>
                <w:szCs w:val="20"/>
                <w:lang w:eastAsia="en-GB"/>
              </w:rPr>
            </w:pPr>
            <w:r>
              <w:rPr>
                <w:rFonts w:ascii="Arial" w:hAnsi="Arial" w:cs="Arial"/>
                <w:b/>
                <w:noProof/>
                <w:sz w:val="52"/>
                <w:szCs w:val="52"/>
                <w:lang w:eastAsia="en-GB"/>
              </w:rPr>
              <w:drawing>
                <wp:inline distT="0" distB="0" distL="0" distR="0">
                  <wp:extent cx="1141200" cy="759600"/>
                  <wp:effectExtent l="0" t="0" r="1905"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1200" cy="759600"/>
                          </a:xfrm>
                          <a:prstGeom prst="rect">
                            <a:avLst/>
                          </a:prstGeom>
                        </pic:spPr>
                      </pic:pic>
                    </a:graphicData>
                  </a:graphic>
                </wp:inline>
              </w:drawing>
            </w:r>
            <w:r>
              <w:rPr>
                <w:rFonts w:ascii="Comic Sans MS" w:hAnsi="Comic Sans MS" w:cs="Arial"/>
                <w:b/>
                <w:noProof/>
                <w:sz w:val="20"/>
                <w:szCs w:val="20"/>
                <w:lang w:eastAsia="en-GB"/>
              </w:rPr>
              <w:t xml:space="preserve">       </w:t>
            </w:r>
            <w:r>
              <w:rPr>
                <w:rFonts w:ascii="Comic Sans MS" w:hAnsi="Comic Sans MS" w:cs="Arial"/>
                <w:b/>
                <w:noProof/>
                <w:sz w:val="20"/>
                <w:szCs w:val="20"/>
                <w:lang w:eastAsia="en-GB"/>
              </w:rPr>
              <w:drawing>
                <wp:inline distT="0" distB="0" distL="0" distR="0">
                  <wp:extent cx="934468" cy="10382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P_full_logo_RGB-Hre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3977" cy="1037680"/>
                          </a:xfrm>
                          <a:prstGeom prst="rect">
                            <a:avLst/>
                          </a:prstGeom>
                        </pic:spPr>
                      </pic:pic>
                    </a:graphicData>
                  </a:graphic>
                </wp:inline>
              </w:drawing>
            </w:r>
            <w:r>
              <w:rPr>
                <w:rFonts w:ascii="Comic Sans MS" w:hAnsi="Comic Sans MS" w:cs="Arial"/>
                <w:b/>
                <w:noProof/>
                <w:sz w:val="20"/>
                <w:szCs w:val="20"/>
                <w:lang w:eastAsia="en-GB"/>
              </w:rPr>
              <w:t xml:space="preserve">  </w:t>
            </w:r>
          </w:p>
          <w:p w:rsidR="00F90996" w:rsidRDefault="00F90996" w:rsidP="004E6A72">
            <w:pPr>
              <w:rPr>
                <w:rFonts w:ascii="Comic Sans MS" w:hAnsi="Comic Sans MS" w:cs="Arial"/>
                <w:b/>
                <w:noProof/>
                <w:sz w:val="20"/>
                <w:szCs w:val="20"/>
                <w:lang w:eastAsia="en-GB"/>
              </w:rPr>
            </w:pPr>
          </w:p>
          <w:p w:rsidR="00F90996" w:rsidRDefault="00F90996" w:rsidP="004E6A72">
            <w:pPr>
              <w:rPr>
                <w:rFonts w:ascii="Comic Sans MS" w:hAnsi="Comic Sans MS" w:cs="Arial"/>
                <w:b/>
                <w:noProof/>
                <w:sz w:val="20"/>
                <w:szCs w:val="20"/>
                <w:lang w:eastAsia="en-GB"/>
              </w:rPr>
            </w:pPr>
          </w:p>
          <w:p w:rsidR="00F90996" w:rsidRDefault="00F90996" w:rsidP="00F90996">
            <w:pPr>
              <w:rPr>
                <w:rFonts w:ascii="Comic Sans MS" w:hAnsi="Comic Sans MS" w:cs="Arial"/>
                <w:b/>
                <w:noProof/>
                <w:sz w:val="20"/>
                <w:szCs w:val="20"/>
                <w:lang w:eastAsia="en-GB"/>
              </w:rPr>
            </w:pPr>
            <w:r>
              <w:rPr>
                <w:rFonts w:ascii="Comic Sans MS" w:hAnsi="Comic Sans MS" w:cs="Arial"/>
                <w:b/>
                <w:noProof/>
                <w:sz w:val="20"/>
                <w:szCs w:val="20"/>
                <w:lang w:eastAsia="en-GB"/>
              </w:rPr>
              <w:t xml:space="preserve">  </w:t>
            </w:r>
          </w:p>
        </w:tc>
        <w:tc>
          <w:tcPr>
            <w:tcW w:w="4843" w:type="dxa"/>
            <w:tcBorders>
              <w:top w:val="nil"/>
              <w:left w:val="nil"/>
              <w:bottom w:val="nil"/>
              <w:right w:val="nil"/>
            </w:tcBorders>
          </w:tcPr>
          <w:p w:rsidR="00C808AD" w:rsidRDefault="00F90996" w:rsidP="004E6A72">
            <w:pPr>
              <w:rPr>
                <w:rFonts w:ascii="Comic Sans MS" w:hAnsi="Comic Sans MS" w:cs="Arial"/>
                <w:b/>
                <w:noProof/>
                <w:sz w:val="20"/>
                <w:szCs w:val="20"/>
                <w:lang w:eastAsia="en-GB"/>
              </w:rPr>
            </w:pPr>
            <w:r>
              <w:rPr>
                <w:rFonts w:ascii="Comic Sans MS" w:hAnsi="Comic Sans MS" w:cs="Arial"/>
                <w:b/>
                <w:noProof/>
                <w:sz w:val="20"/>
                <w:szCs w:val="20"/>
                <w:lang w:eastAsia="en-GB"/>
              </w:rPr>
              <w:drawing>
                <wp:inline distT="0" distB="0" distL="0" distR="0">
                  <wp:extent cx="1045388" cy="1065177"/>
                  <wp:effectExtent l="0" t="0" r="254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Logo 2016.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1384" cy="1071286"/>
                          </a:xfrm>
                          <a:prstGeom prst="rect">
                            <a:avLst/>
                          </a:prstGeom>
                        </pic:spPr>
                      </pic:pic>
                    </a:graphicData>
                  </a:graphic>
                </wp:inline>
              </w:drawing>
            </w:r>
            <w:r>
              <w:rPr>
                <w:rFonts w:ascii="Arial" w:hAnsi="Arial" w:cs="Arial"/>
                <w:b/>
                <w:noProof/>
                <w:sz w:val="52"/>
                <w:szCs w:val="52"/>
                <w:lang w:eastAsia="en-GB"/>
              </w:rPr>
              <w:t xml:space="preserve">  </w:t>
            </w:r>
            <w:r>
              <w:rPr>
                <w:rFonts w:ascii="Arial" w:hAnsi="Arial" w:cs="Arial"/>
                <w:b/>
                <w:noProof/>
                <w:sz w:val="52"/>
                <w:szCs w:val="52"/>
                <w:lang w:eastAsia="en-GB"/>
              </w:rPr>
              <w:drawing>
                <wp:inline distT="0" distB="0" distL="0" distR="0">
                  <wp:extent cx="1590675" cy="417365"/>
                  <wp:effectExtent l="0" t="0" r="0" b="190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A Logo.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1570" cy="417600"/>
                          </a:xfrm>
                          <a:prstGeom prst="rect">
                            <a:avLst/>
                          </a:prstGeom>
                        </pic:spPr>
                      </pic:pic>
                    </a:graphicData>
                  </a:graphic>
                </wp:inline>
              </w:drawing>
            </w:r>
          </w:p>
          <w:p w:rsidR="00350C79" w:rsidRDefault="00350C79" w:rsidP="004E6A72">
            <w:pPr>
              <w:rPr>
                <w:rFonts w:ascii="Comic Sans MS" w:hAnsi="Comic Sans MS" w:cs="Arial"/>
                <w:b/>
                <w:noProof/>
                <w:sz w:val="20"/>
                <w:szCs w:val="20"/>
                <w:lang w:eastAsia="en-GB"/>
              </w:rPr>
            </w:pPr>
          </w:p>
          <w:p w:rsidR="00350C79" w:rsidRDefault="00350C79" w:rsidP="004E6A72">
            <w:pPr>
              <w:rPr>
                <w:rFonts w:ascii="Comic Sans MS" w:hAnsi="Comic Sans MS" w:cs="Arial"/>
                <w:b/>
                <w:noProof/>
                <w:sz w:val="20"/>
                <w:szCs w:val="20"/>
                <w:lang w:eastAsia="en-GB"/>
              </w:rPr>
            </w:pPr>
          </w:p>
        </w:tc>
      </w:tr>
    </w:tbl>
    <w:p w:rsidR="00F90996" w:rsidRDefault="004E6A72" w:rsidP="00F90996">
      <w:pPr>
        <w:spacing w:after="0"/>
        <w:rPr>
          <w:rFonts w:ascii="Comic Sans MS" w:hAnsi="Comic Sans MS" w:cs="Arial"/>
          <w:b/>
          <w:noProof/>
          <w:sz w:val="20"/>
          <w:szCs w:val="20"/>
          <w:lang w:eastAsia="en-GB"/>
        </w:rPr>
      </w:pPr>
      <w:r>
        <w:rPr>
          <w:rFonts w:ascii="Comic Sans MS" w:hAnsi="Comic Sans MS" w:cs="Arial"/>
          <w:b/>
          <w:noProof/>
          <w:sz w:val="20"/>
          <w:szCs w:val="20"/>
          <w:lang w:eastAsia="en-GB"/>
        </w:rPr>
        <w:t xml:space="preserve"> </w:t>
      </w:r>
      <w:r w:rsidR="00F90996">
        <w:rPr>
          <w:rFonts w:ascii="Arial" w:hAnsi="Arial" w:cs="Arial"/>
          <w:b/>
          <w:noProof/>
          <w:sz w:val="52"/>
          <w:szCs w:val="52"/>
          <w:lang w:eastAsia="en-GB"/>
        </w:rPr>
        <w:drawing>
          <wp:inline distT="0" distB="0" distL="0" distR="0">
            <wp:extent cx="2085975" cy="77355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th-logo-final.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0720" cy="775310"/>
                    </a:xfrm>
                    <a:prstGeom prst="rect">
                      <a:avLst/>
                    </a:prstGeom>
                  </pic:spPr>
                </pic:pic>
              </a:graphicData>
            </a:graphic>
          </wp:inline>
        </w:drawing>
      </w:r>
      <w:r>
        <w:rPr>
          <w:rFonts w:ascii="Comic Sans MS" w:hAnsi="Comic Sans MS" w:cs="Arial"/>
          <w:b/>
          <w:noProof/>
          <w:sz w:val="20"/>
          <w:szCs w:val="20"/>
          <w:lang w:eastAsia="en-GB"/>
        </w:rPr>
        <w:t xml:space="preserve">              </w:t>
      </w:r>
      <w:r w:rsidR="00F90996">
        <w:rPr>
          <w:noProof/>
          <w:color w:val="1F497D"/>
          <w:lang w:eastAsia="en-GB"/>
        </w:rPr>
        <w:drawing>
          <wp:inline distT="0" distB="0" distL="0" distR="0">
            <wp:extent cx="2400300" cy="485775"/>
            <wp:effectExtent l="0" t="0" r="0" b="9525"/>
            <wp:docPr id="1" name="Picture 1" descr="cid:image001.png@01D15DD4.95387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5DD4.95387490"/>
                    <pic:cNvPicPr>
                      <a:picLocks noChangeAspect="1" noChangeArrowheads="1"/>
                    </pic:cNvPicPr>
                  </pic:nvPicPr>
                  <pic:blipFill>
                    <a:blip r:embed="rId13"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1412" cy="486000"/>
                    </a:xfrm>
                    <a:prstGeom prst="rect">
                      <a:avLst/>
                    </a:prstGeom>
                    <a:noFill/>
                    <a:ln>
                      <a:noFill/>
                    </a:ln>
                  </pic:spPr>
                </pic:pic>
              </a:graphicData>
            </a:graphic>
          </wp:inline>
        </w:drawing>
      </w:r>
      <w:r w:rsidR="00F90996">
        <w:rPr>
          <w:rFonts w:ascii="Comic Sans MS" w:hAnsi="Comic Sans MS" w:cs="Arial"/>
          <w:b/>
          <w:noProof/>
          <w:sz w:val="20"/>
          <w:szCs w:val="20"/>
          <w:lang w:eastAsia="en-GB"/>
        </w:rPr>
        <w:t xml:space="preserve">      </w:t>
      </w:r>
    </w:p>
    <w:p w:rsidR="00F90996" w:rsidRDefault="00F90996" w:rsidP="00F90996">
      <w:pPr>
        <w:spacing w:after="0"/>
        <w:rPr>
          <w:rFonts w:ascii="Comic Sans MS" w:hAnsi="Comic Sans MS" w:cs="Arial"/>
          <w:b/>
          <w:noProof/>
          <w:sz w:val="20"/>
          <w:szCs w:val="20"/>
          <w:lang w:eastAsia="en-GB"/>
        </w:rPr>
      </w:pPr>
    </w:p>
    <w:p w:rsidR="000F45EF" w:rsidRDefault="00F90996" w:rsidP="00F90996">
      <w:pPr>
        <w:spacing w:after="0"/>
        <w:rPr>
          <w:rFonts w:ascii="Comic Sans MS" w:hAnsi="Comic Sans MS" w:cs="Arial"/>
          <w:b/>
          <w:noProof/>
          <w:sz w:val="20"/>
          <w:szCs w:val="20"/>
          <w:lang w:eastAsia="en-GB"/>
        </w:rPr>
      </w:pPr>
      <w:r w:rsidRPr="00DF5EFC">
        <w:rPr>
          <w:rFonts w:ascii="Comic Sans MS" w:hAnsi="Comic Sans MS" w:cs="Arial"/>
          <w:b/>
          <w:noProof/>
          <w:szCs w:val="20"/>
          <w:lang w:eastAsia="en-GB"/>
        </w:rPr>
        <w:drawing>
          <wp:inline distT="0" distB="0" distL="0" distR="0">
            <wp:extent cx="2693242" cy="647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t_logo.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3242" cy="647700"/>
                    </a:xfrm>
                    <a:prstGeom prst="rect">
                      <a:avLst/>
                    </a:prstGeom>
                  </pic:spPr>
                </pic:pic>
              </a:graphicData>
            </a:graphic>
          </wp:inline>
        </w:drawing>
      </w:r>
      <w:r>
        <w:rPr>
          <w:rFonts w:ascii="Comic Sans MS" w:hAnsi="Comic Sans MS" w:cs="Arial"/>
          <w:b/>
          <w:noProof/>
          <w:sz w:val="20"/>
          <w:szCs w:val="20"/>
          <w:lang w:eastAsia="en-GB"/>
        </w:rPr>
        <w:t xml:space="preserve">     </w:t>
      </w:r>
      <w:r w:rsidR="004E6A72">
        <w:rPr>
          <w:rFonts w:ascii="Comic Sans MS" w:hAnsi="Comic Sans MS" w:cs="Arial"/>
          <w:b/>
          <w:noProof/>
          <w:sz w:val="20"/>
          <w:szCs w:val="20"/>
          <w:lang w:eastAsia="en-GB"/>
        </w:rPr>
        <w:t xml:space="preserve">  </w:t>
      </w:r>
      <w:r>
        <w:rPr>
          <w:rFonts w:ascii="Comic Sans MS" w:hAnsi="Comic Sans MS" w:cs="Arial"/>
          <w:b/>
          <w:noProof/>
          <w:sz w:val="20"/>
          <w:szCs w:val="20"/>
          <w:lang w:eastAsia="en-GB"/>
        </w:rPr>
        <w:t xml:space="preserve">              </w:t>
      </w:r>
    </w:p>
    <w:p w:rsidR="00F90996" w:rsidRDefault="00F90996" w:rsidP="00F90996">
      <w:pPr>
        <w:spacing w:after="0"/>
        <w:rPr>
          <w:rFonts w:ascii="Comic Sans MS" w:hAnsi="Comic Sans MS" w:cs="Arial"/>
          <w:b/>
          <w:noProof/>
          <w:sz w:val="20"/>
          <w:szCs w:val="20"/>
          <w:lang w:eastAsia="en-GB"/>
        </w:rPr>
      </w:pPr>
    </w:p>
    <w:p w:rsidR="00350C79" w:rsidRDefault="00350C79" w:rsidP="00030B79">
      <w:pPr>
        <w:spacing w:after="0"/>
        <w:rPr>
          <w:rFonts w:ascii="Arial" w:hAnsi="Arial" w:cs="Arial"/>
          <w:sz w:val="18"/>
          <w:szCs w:val="18"/>
        </w:rPr>
      </w:pPr>
      <w:r>
        <w:rPr>
          <w:rFonts w:ascii="Comic Sans MS" w:hAnsi="Comic Sans MS" w:cs="Arial"/>
          <w:b/>
          <w:noProof/>
          <w:sz w:val="20"/>
          <w:szCs w:val="20"/>
          <w:lang w:eastAsia="en-GB"/>
        </w:rPr>
        <w:t xml:space="preserve">     </w:t>
      </w:r>
      <w:r w:rsidR="00F90996">
        <w:rPr>
          <w:rFonts w:ascii="Comic Sans MS" w:hAnsi="Comic Sans MS" w:cs="Arial"/>
          <w:b/>
          <w:noProof/>
          <w:sz w:val="20"/>
          <w:szCs w:val="20"/>
          <w:lang w:eastAsia="en-GB"/>
        </w:rPr>
        <w:t xml:space="preserve">        </w:t>
      </w:r>
      <w:r w:rsidR="0085605D" w:rsidRPr="000F45EF">
        <w:rPr>
          <w:rFonts w:ascii="Arial" w:hAnsi="Arial" w:cs="Arial"/>
          <w:sz w:val="18"/>
          <w:szCs w:val="18"/>
        </w:rPr>
        <w:t>STOMP: Stopping Over-Medication of People with a Learning</w:t>
      </w:r>
      <w:r w:rsidR="00030B79">
        <w:rPr>
          <w:rFonts w:ascii="Arial" w:hAnsi="Arial" w:cs="Arial"/>
          <w:sz w:val="18"/>
          <w:szCs w:val="18"/>
        </w:rPr>
        <w:t xml:space="preserve"> Disability, or autism, or both</w:t>
      </w:r>
    </w:p>
    <w:tbl>
      <w:tblPr>
        <w:tblStyle w:val="TableGrid"/>
        <w:tblW w:w="0" w:type="auto"/>
        <w:tblLook w:val="04A0"/>
      </w:tblPr>
      <w:tblGrid>
        <w:gridCol w:w="8967"/>
        <w:gridCol w:w="275"/>
      </w:tblGrid>
      <w:tr w:rsidR="00C808AD" w:rsidTr="002C1AAF">
        <w:tc>
          <w:tcPr>
            <w:tcW w:w="4621" w:type="dxa"/>
            <w:tcBorders>
              <w:top w:val="nil"/>
              <w:left w:val="nil"/>
              <w:bottom w:val="nil"/>
              <w:right w:val="nil"/>
            </w:tcBorders>
          </w:tcPr>
          <w:p w:rsidR="002C1AAF" w:rsidRDefault="002C1AAF" w:rsidP="00350C79">
            <w:pPr>
              <w:rPr>
                <w:rFonts w:ascii="Arial" w:hAnsi="Arial" w:cs="Arial"/>
                <w:b/>
                <w:sz w:val="52"/>
                <w:szCs w:val="52"/>
              </w:rPr>
            </w:pPr>
          </w:p>
        </w:tc>
        <w:tc>
          <w:tcPr>
            <w:tcW w:w="4621" w:type="dxa"/>
            <w:tcBorders>
              <w:top w:val="nil"/>
              <w:left w:val="nil"/>
              <w:bottom w:val="nil"/>
              <w:right w:val="nil"/>
            </w:tcBorders>
          </w:tcPr>
          <w:p w:rsidR="00C808AD" w:rsidRDefault="00C808AD" w:rsidP="00C808AD">
            <w:pPr>
              <w:rPr>
                <w:rFonts w:ascii="Arial" w:hAnsi="Arial" w:cs="Arial"/>
                <w:b/>
                <w:sz w:val="52"/>
                <w:szCs w:val="52"/>
              </w:rPr>
            </w:pPr>
          </w:p>
        </w:tc>
      </w:tr>
      <w:tr w:rsidR="00C808AD" w:rsidTr="002C1AAF">
        <w:trPr>
          <w:trHeight w:val="651"/>
        </w:trPr>
        <w:tc>
          <w:tcPr>
            <w:tcW w:w="4621"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1"/>
            </w:tblGrid>
            <w:tr w:rsidR="003A2076" w:rsidTr="003A2076">
              <w:tc>
                <w:tcPr>
                  <w:tcW w:w="4390" w:type="dxa"/>
                </w:tcPr>
                <w:p w:rsidR="00030B79" w:rsidRPr="00FF1D17" w:rsidRDefault="00030B79" w:rsidP="00030B79">
                  <w:pPr>
                    <w:rPr>
                      <w:b/>
                      <w:sz w:val="28"/>
                      <w:szCs w:val="28"/>
                    </w:rPr>
                  </w:pPr>
                  <w:r w:rsidRPr="00FF1D17">
                    <w:rPr>
                      <w:b/>
                      <w:sz w:val="28"/>
                      <w:szCs w:val="28"/>
                    </w:rPr>
                    <w:lastRenderedPageBreak/>
                    <w:t>Introduction:</w:t>
                  </w:r>
                </w:p>
                <w:p w:rsidR="00030B79" w:rsidRPr="00F0200D" w:rsidRDefault="00030B79" w:rsidP="00030B79">
                  <w:pPr>
                    <w:rPr>
                      <w:sz w:val="24"/>
                      <w:szCs w:val="24"/>
                    </w:rPr>
                  </w:pPr>
                </w:p>
                <w:p w:rsidR="00030B79" w:rsidRPr="00F0200D" w:rsidRDefault="00030B79" w:rsidP="00030B79">
                  <w:pPr>
                    <w:rPr>
                      <w:sz w:val="24"/>
                      <w:szCs w:val="24"/>
                    </w:rPr>
                  </w:pPr>
                  <w:r w:rsidRPr="00F0200D">
                    <w:rPr>
                      <w:sz w:val="24"/>
                      <w:szCs w:val="24"/>
                    </w:rPr>
                    <w:t xml:space="preserve">‘The use of psychotropic medication to manage mental health disorders and challenging behaviour in people with Intellectual Disabilities has been highlighted as an area for development and strategic review under the Transforming Care Programme (2015).   In 2016, following an earlier pledge by a number of different professional groups to bring an end to what was described as inappropriate </w:t>
                  </w:r>
                  <w:proofErr w:type="gramStart"/>
                  <w:r w:rsidRPr="00F0200D">
                    <w:rPr>
                      <w:sz w:val="24"/>
                      <w:szCs w:val="24"/>
                    </w:rPr>
                    <w:t>practices,</w:t>
                  </w:r>
                  <w:proofErr w:type="gramEnd"/>
                  <w:r w:rsidRPr="00F0200D">
                    <w:rPr>
                      <w:sz w:val="24"/>
                      <w:szCs w:val="24"/>
                    </w:rPr>
                    <w:t xml:space="preserve"> NHS England launched the STOMP initiative. </w:t>
                  </w:r>
                </w:p>
                <w:p w:rsidR="00030B79" w:rsidRPr="00F0200D" w:rsidRDefault="00030B79" w:rsidP="00030B79">
                  <w:pPr>
                    <w:pStyle w:val="NormalWeb"/>
                    <w:rPr>
                      <w:rFonts w:asciiTheme="minorHAnsi" w:hAnsiTheme="minorHAnsi"/>
                      <w:lang w:val="en-US"/>
                    </w:rPr>
                  </w:pPr>
                  <w:r w:rsidRPr="00F0200D">
                    <w:rPr>
                      <w:rFonts w:asciiTheme="minorHAnsi" w:hAnsiTheme="minorHAnsi"/>
                      <w:lang w:val="en-US"/>
                    </w:rPr>
                    <w:t xml:space="preserve">It is estimated that every day about 35,000 people with learning disabilities or autism are prescribed psychotropic medicines when they do not have a diagnosed mental health condition, often to manage </w:t>
                  </w:r>
                  <w:proofErr w:type="spellStart"/>
                  <w:r w:rsidRPr="00F0200D">
                    <w:rPr>
                      <w:rFonts w:asciiTheme="minorHAnsi" w:hAnsiTheme="minorHAnsi"/>
                      <w:lang w:val="en-US"/>
                    </w:rPr>
                    <w:t>behaviour</w:t>
                  </w:r>
                  <w:proofErr w:type="spellEnd"/>
                  <w:r w:rsidRPr="00F0200D">
                    <w:rPr>
                      <w:rFonts w:asciiTheme="minorHAnsi" w:hAnsiTheme="minorHAnsi"/>
                      <w:lang w:val="en-US"/>
                    </w:rPr>
                    <w:t xml:space="preserve"> which is seen as challenging. This includes medicines used to treat psychosis, depression, anxiety and sleep disorders. It also includes epilepsy medication when it is only used for its calming effect, rather than to treat epilepsy. STOMP is about making sure people get the right medicine if they need it and that people get all the help they need in other ways as well. It is about encouraging people to have regular medication reviews, supporting health professionals to involve people in decisions and showing how families and social care providers can be involved. STOMP also aims to improve awareness of non-drug therapies and practical ways of supporting people whose </w:t>
                  </w:r>
                  <w:proofErr w:type="spellStart"/>
                  <w:r w:rsidRPr="00F0200D">
                    <w:rPr>
                      <w:rFonts w:asciiTheme="minorHAnsi" w:hAnsiTheme="minorHAnsi"/>
                      <w:lang w:val="en-US"/>
                    </w:rPr>
                    <w:t>behaviour</w:t>
                  </w:r>
                  <w:proofErr w:type="spellEnd"/>
                  <w:r w:rsidRPr="00F0200D">
                    <w:rPr>
                      <w:rFonts w:asciiTheme="minorHAnsi" w:hAnsiTheme="minorHAnsi"/>
                      <w:lang w:val="en-US"/>
                    </w:rPr>
                    <w:t xml:space="preserve"> is seen as challenging. (NHS England website retrieved 11</w:t>
                  </w:r>
                  <w:r w:rsidRPr="00F0200D">
                    <w:rPr>
                      <w:rFonts w:asciiTheme="minorHAnsi" w:hAnsiTheme="minorHAnsi"/>
                      <w:vertAlign w:val="superscript"/>
                      <w:lang w:val="en-US"/>
                    </w:rPr>
                    <w:t>th</w:t>
                  </w:r>
                  <w:r w:rsidRPr="00F0200D">
                    <w:rPr>
                      <w:rFonts w:asciiTheme="minorHAnsi" w:hAnsiTheme="minorHAnsi"/>
                      <w:lang w:val="en-US"/>
                    </w:rPr>
                    <w:t xml:space="preserve"> Oct 21.00) </w:t>
                  </w:r>
                </w:p>
                <w:p w:rsidR="00030B79" w:rsidRPr="00F0200D" w:rsidRDefault="00030B79" w:rsidP="00030B79">
                  <w:pPr>
                    <w:rPr>
                      <w:sz w:val="24"/>
                      <w:szCs w:val="24"/>
                    </w:rPr>
                  </w:pPr>
                  <w:r w:rsidRPr="00F0200D">
                    <w:rPr>
                      <w:sz w:val="24"/>
                      <w:szCs w:val="24"/>
                    </w:rPr>
                    <w:t xml:space="preserve">The following professions </w:t>
                  </w:r>
                  <w:r w:rsidRPr="00F0200D">
                    <w:rPr>
                      <w:rStyle w:val="FootnoteReference"/>
                      <w:sz w:val="24"/>
                      <w:szCs w:val="24"/>
                    </w:rPr>
                    <w:footnoteReference w:id="1"/>
                  </w:r>
                  <w:r w:rsidRPr="00F0200D">
                    <w:rPr>
                      <w:sz w:val="24"/>
                      <w:szCs w:val="24"/>
                    </w:rPr>
                    <w:t xml:space="preserve"> fully support this STOMP campaign and pledge to work with other professionals to promote the reduction of the use of psychotropic medication in people with learning disabilities:</w:t>
                  </w:r>
                </w:p>
                <w:p w:rsidR="00030B79" w:rsidRPr="00FF1D17" w:rsidRDefault="00030B79" w:rsidP="00030B79">
                  <w:pPr>
                    <w:rPr>
                      <w:b/>
                      <w:sz w:val="24"/>
                      <w:szCs w:val="24"/>
                    </w:rPr>
                  </w:pPr>
                  <w:r w:rsidRPr="00FF1D17">
                    <w:rPr>
                      <w:b/>
                      <w:sz w:val="24"/>
                      <w:szCs w:val="24"/>
                    </w:rPr>
                    <w:t>The British Association of Art Therapists</w:t>
                  </w:r>
                </w:p>
                <w:p w:rsidR="00030B79" w:rsidRPr="00FF1D17" w:rsidRDefault="00030B79" w:rsidP="00030B79">
                  <w:pPr>
                    <w:rPr>
                      <w:b/>
                      <w:sz w:val="24"/>
                      <w:szCs w:val="24"/>
                    </w:rPr>
                  </w:pPr>
                  <w:r w:rsidRPr="00FF1D17">
                    <w:rPr>
                      <w:b/>
                      <w:sz w:val="24"/>
                      <w:szCs w:val="24"/>
                    </w:rPr>
                    <w:t>The British Association for Music Therapy</w:t>
                  </w:r>
                </w:p>
                <w:p w:rsidR="00030B79" w:rsidRPr="00FF1D17" w:rsidRDefault="00030B79" w:rsidP="00030B79">
                  <w:pPr>
                    <w:rPr>
                      <w:b/>
                      <w:sz w:val="24"/>
                      <w:szCs w:val="24"/>
                    </w:rPr>
                  </w:pPr>
                  <w:r w:rsidRPr="00FF1D17">
                    <w:rPr>
                      <w:b/>
                      <w:sz w:val="24"/>
                      <w:szCs w:val="24"/>
                    </w:rPr>
                    <w:t xml:space="preserve">The British Association of </w:t>
                  </w:r>
                  <w:proofErr w:type="spellStart"/>
                  <w:r w:rsidRPr="00FF1D17">
                    <w:rPr>
                      <w:b/>
                      <w:sz w:val="24"/>
                      <w:szCs w:val="24"/>
                    </w:rPr>
                    <w:t>Dramatherapists</w:t>
                  </w:r>
                  <w:proofErr w:type="spellEnd"/>
                </w:p>
                <w:p w:rsidR="00030B79" w:rsidRPr="00E678DC" w:rsidRDefault="00030B79" w:rsidP="00030B79">
                  <w:pPr>
                    <w:rPr>
                      <w:b/>
                      <w:sz w:val="24"/>
                      <w:szCs w:val="24"/>
                    </w:rPr>
                  </w:pPr>
                  <w:r w:rsidRPr="00FF1D17">
                    <w:rPr>
                      <w:b/>
                      <w:sz w:val="24"/>
                      <w:szCs w:val="24"/>
                    </w:rPr>
                    <w:t>The Association for Dance Movement Psychotherapy</w:t>
                  </w:r>
                </w:p>
                <w:p w:rsidR="00030B79" w:rsidRPr="00FF1D17" w:rsidRDefault="00030B79" w:rsidP="00030B79">
                  <w:pPr>
                    <w:rPr>
                      <w:b/>
                      <w:sz w:val="24"/>
                      <w:szCs w:val="24"/>
                    </w:rPr>
                  </w:pPr>
                  <w:r w:rsidRPr="00FF1D17">
                    <w:rPr>
                      <w:b/>
                      <w:sz w:val="24"/>
                      <w:szCs w:val="24"/>
                    </w:rPr>
                    <w:t>The Royal College of Speech and Language Therapists</w:t>
                  </w:r>
                </w:p>
                <w:p w:rsidR="00030B79" w:rsidRDefault="00030B79" w:rsidP="00030B79">
                  <w:pPr>
                    <w:rPr>
                      <w:b/>
                      <w:sz w:val="24"/>
                      <w:szCs w:val="24"/>
                    </w:rPr>
                  </w:pPr>
                  <w:r w:rsidRPr="00FF1D17">
                    <w:rPr>
                      <w:b/>
                      <w:sz w:val="24"/>
                      <w:szCs w:val="24"/>
                    </w:rPr>
                    <w:t>The Chartered Society of Physiotherapy</w:t>
                  </w:r>
                </w:p>
                <w:p w:rsidR="00030B79" w:rsidRDefault="00030B79" w:rsidP="00030B79">
                  <w:pPr>
                    <w:rPr>
                      <w:b/>
                      <w:sz w:val="24"/>
                      <w:szCs w:val="24"/>
                    </w:rPr>
                  </w:pPr>
                  <w:r>
                    <w:rPr>
                      <w:b/>
                      <w:sz w:val="24"/>
                      <w:szCs w:val="24"/>
                    </w:rPr>
                    <w:t>The British Dietetic Association</w:t>
                  </w:r>
                </w:p>
                <w:p w:rsidR="00030B79" w:rsidRPr="00FF1D17" w:rsidRDefault="00030B79" w:rsidP="00030B79">
                  <w:pPr>
                    <w:rPr>
                      <w:b/>
                      <w:sz w:val="24"/>
                      <w:szCs w:val="24"/>
                    </w:rPr>
                  </w:pPr>
                </w:p>
                <w:p w:rsidR="00030B79" w:rsidRDefault="00030B79" w:rsidP="00030B79">
                  <w:pPr>
                    <w:rPr>
                      <w:sz w:val="24"/>
                      <w:szCs w:val="24"/>
                    </w:rPr>
                  </w:pPr>
                  <w:r w:rsidRPr="00F0200D">
                    <w:rPr>
                      <w:sz w:val="24"/>
                      <w:szCs w:val="24"/>
                    </w:rPr>
                    <w:t>The Allied Health Professions and Dance Movement Psychotherapy (DMP) are key players in providing health treatment and intervention to people with a learning disability including those with behaviours that challenge. These professions are therefore well-placed to promote this campaign and consider how their specific profession is best placed to support it.</w:t>
                  </w:r>
                </w:p>
                <w:p w:rsidR="00030B79" w:rsidRPr="00F0200D" w:rsidRDefault="00030B79" w:rsidP="00030B79">
                  <w:pPr>
                    <w:rPr>
                      <w:sz w:val="24"/>
                      <w:szCs w:val="24"/>
                    </w:rPr>
                  </w:pPr>
                </w:p>
                <w:p w:rsidR="00030B79" w:rsidRDefault="00030B79" w:rsidP="00030B79">
                  <w:pPr>
                    <w:rPr>
                      <w:sz w:val="24"/>
                      <w:szCs w:val="24"/>
                    </w:rPr>
                  </w:pPr>
                  <w:r w:rsidRPr="00F0200D">
                    <w:rPr>
                      <w:sz w:val="24"/>
                      <w:szCs w:val="24"/>
                    </w:rPr>
                    <w:t xml:space="preserve"> The Allied Health Professions and DMP to whom this document refers will promote the STOMP campaign amongst its members and partners through the following:</w:t>
                  </w:r>
                </w:p>
                <w:p w:rsidR="00030B79" w:rsidRPr="00F0200D" w:rsidRDefault="00030B79" w:rsidP="00030B79">
                  <w:pPr>
                    <w:rPr>
                      <w:sz w:val="24"/>
                      <w:szCs w:val="24"/>
                    </w:rPr>
                  </w:pPr>
                </w:p>
                <w:p w:rsidR="00030B79" w:rsidRPr="00F0200D" w:rsidRDefault="00030B79" w:rsidP="00030B79">
                  <w:pPr>
                    <w:pStyle w:val="ListParagraph"/>
                    <w:numPr>
                      <w:ilvl w:val="0"/>
                      <w:numId w:val="1"/>
                    </w:numPr>
                    <w:rPr>
                      <w:sz w:val="24"/>
                      <w:szCs w:val="24"/>
                    </w:rPr>
                  </w:pPr>
                  <w:r w:rsidRPr="00F0200D">
                    <w:rPr>
                      <w:sz w:val="24"/>
                      <w:szCs w:val="24"/>
                    </w:rPr>
                    <w:t xml:space="preserve">AHPs and DMP will provide information about the STOMP campaign and any specific actions to all members of their professional associations via relevant </w:t>
                  </w:r>
                  <w:r w:rsidRPr="00F0200D">
                    <w:rPr>
                      <w:sz w:val="24"/>
                      <w:szCs w:val="24"/>
                    </w:rPr>
                    <w:lastRenderedPageBreak/>
                    <w:t>special interest groups/networks and relevant newsletters and websites;</w:t>
                  </w:r>
                </w:p>
                <w:p w:rsidR="00030B79" w:rsidRPr="00F0200D" w:rsidRDefault="00030B79" w:rsidP="00030B79">
                  <w:pPr>
                    <w:pStyle w:val="ListParagraph"/>
                    <w:numPr>
                      <w:ilvl w:val="0"/>
                      <w:numId w:val="1"/>
                    </w:numPr>
                    <w:rPr>
                      <w:sz w:val="24"/>
                      <w:szCs w:val="24"/>
                    </w:rPr>
                  </w:pPr>
                  <w:r w:rsidRPr="00F0200D">
                    <w:rPr>
                      <w:sz w:val="24"/>
                      <w:szCs w:val="24"/>
                    </w:rPr>
                    <w:t>AHPs and DMP will work together with all partners including  the medical profession, people with a learning disability, their families and carers  in developing a shared understanding of the STOMP campaign and the need to reduce the use of psychotropic medication;</w:t>
                  </w:r>
                </w:p>
                <w:p w:rsidR="00030B79" w:rsidRPr="00F0200D" w:rsidRDefault="00030B79" w:rsidP="00030B79">
                  <w:pPr>
                    <w:pStyle w:val="ListParagraph"/>
                    <w:numPr>
                      <w:ilvl w:val="0"/>
                      <w:numId w:val="1"/>
                    </w:numPr>
                    <w:rPr>
                      <w:rFonts w:ascii="Arial" w:hAnsi="Arial" w:cs="Arial"/>
                      <w:b/>
                      <w:bCs/>
                      <w:sz w:val="24"/>
                      <w:szCs w:val="24"/>
                    </w:rPr>
                  </w:pPr>
                  <w:r w:rsidRPr="00F0200D">
                    <w:rPr>
                      <w:rFonts w:cs="Arial"/>
                      <w:bCs/>
                      <w:sz w:val="24"/>
                      <w:szCs w:val="24"/>
                    </w:rPr>
                    <w:t>AHPS and DMP will provide access to information about the STOMP campaign and the roles they play. This may require individual reasonable adjustments for service users and their families/carers.</w:t>
                  </w:r>
                </w:p>
                <w:p w:rsidR="00030B79" w:rsidRPr="00F0200D" w:rsidRDefault="00030B79" w:rsidP="00030B79">
                  <w:pPr>
                    <w:pStyle w:val="ListParagraph"/>
                    <w:numPr>
                      <w:ilvl w:val="0"/>
                      <w:numId w:val="1"/>
                    </w:numPr>
                    <w:rPr>
                      <w:sz w:val="24"/>
                      <w:szCs w:val="24"/>
                    </w:rPr>
                  </w:pPr>
                  <w:r w:rsidRPr="00F0200D">
                    <w:rPr>
                      <w:sz w:val="24"/>
                      <w:szCs w:val="24"/>
                    </w:rPr>
                    <w:t>AHPs and DMP will support using a person centred approach to develop a robust multi-disciplinary care plan that is co-produced by all relevant professionals, families/carers and Service User where possible.</w:t>
                  </w:r>
                </w:p>
                <w:p w:rsidR="00030B79" w:rsidRPr="00F0200D" w:rsidRDefault="00030B79" w:rsidP="00030B79">
                  <w:pPr>
                    <w:pStyle w:val="ListParagraph"/>
                    <w:numPr>
                      <w:ilvl w:val="0"/>
                      <w:numId w:val="1"/>
                    </w:numPr>
                    <w:rPr>
                      <w:sz w:val="24"/>
                      <w:szCs w:val="24"/>
                    </w:rPr>
                  </w:pPr>
                  <w:r w:rsidRPr="00F0200D">
                    <w:rPr>
                      <w:sz w:val="24"/>
                      <w:szCs w:val="24"/>
                    </w:rPr>
                    <w:t xml:space="preserve">AHPs and DMP will use recognised outcomes measures, e.g. </w:t>
                  </w:r>
                  <w:proofErr w:type="spellStart"/>
                  <w:r w:rsidRPr="00F0200D">
                    <w:rPr>
                      <w:sz w:val="24"/>
                      <w:szCs w:val="24"/>
                    </w:rPr>
                    <w:t>HoNoS</w:t>
                  </w:r>
                  <w:proofErr w:type="spellEnd"/>
                  <w:r w:rsidRPr="00F0200D">
                    <w:rPr>
                      <w:sz w:val="24"/>
                      <w:szCs w:val="24"/>
                    </w:rPr>
                    <w:t>-LD, TOMs, EKOS, Core-LD  to monitor the effectiveness of their intervention;</w:t>
                  </w:r>
                </w:p>
                <w:p w:rsidR="00030B79" w:rsidRPr="00F0200D" w:rsidRDefault="00030B79" w:rsidP="00030B79">
                  <w:pPr>
                    <w:pStyle w:val="ListParagraph"/>
                    <w:numPr>
                      <w:ilvl w:val="0"/>
                      <w:numId w:val="1"/>
                    </w:numPr>
                    <w:rPr>
                      <w:sz w:val="24"/>
                      <w:szCs w:val="24"/>
                    </w:rPr>
                  </w:pPr>
                  <w:r w:rsidRPr="00F0200D">
                    <w:rPr>
                      <w:sz w:val="24"/>
                      <w:szCs w:val="24"/>
                    </w:rPr>
                    <w:t>Any intervention provided by an AHP will be part of a holistic and person centred approach developed in partnership with the Multi-disciplinary team as well as the person themselves and their carers. We will support all professions to have the confidence to either explore the rational for using medication or challenge it’s use when this is not part of the agreed MDT approach or choice of the Service User;</w:t>
                  </w:r>
                </w:p>
                <w:p w:rsidR="00030B79" w:rsidRPr="00F0200D" w:rsidRDefault="00030B79" w:rsidP="00030B79">
                  <w:pPr>
                    <w:pStyle w:val="ListParagraph"/>
                    <w:numPr>
                      <w:ilvl w:val="0"/>
                      <w:numId w:val="1"/>
                    </w:numPr>
                    <w:rPr>
                      <w:sz w:val="24"/>
                      <w:szCs w:val="24"/>
                    </w:rPr>
                  </w:pPr>
                  <w:r w:rsidRPr="00F0200D">
                    <w:rPr>
                      <w:sz w:val="24"/>
                      <w:szCs w:val="24"/>
                    </w:rPr>
                    <w:t>AHPs and  DMP will always seek consent to treatment and where the person themselves is unable to consent their own treatment will follow the best interest framework;</w:t>
                  </w:r>
                </w:p>
                <w:p w:rsidR="00030B79" w:rsidRPr="00F0200D" w:rsidRDefault="00030B79" w:rsidP="00030B79">
                  <w:pPr>
                    <w:pStyle w:val="ListParagraph"/>
                    <w:numPr>
                      <w:ilvl w:val="0"/>
                      <w:numId w:val="1"/>
                    </w:numPr>
                    <w:rPr>
                      <w:sz w:val="24"/>
                      <w:szCs w:val="24"/>
                    </w:rPr>
                  </w:pPr>
                  <w:r w:rsidRPr="00F0200D">
                    <w:rPr>
                      <w:sz w:val="24"/>
                      <w:szCs w:val="24"/>
                    </w:rPr>
                    <w:t>AHPS and DMP will play a vital role in assisting in all aspects of communication associated with the use of psychotropic medication ensuring the person and their family/carers are involved in their care plan, understanding the rationale behind medication and any side effects. This will include ensuring easy read information is available. We will use the 5 Good Communication Standards to empower people in understanding their medication, helping carers to know how Service Users can be proactively involved in their reviews and therefore decisions about their medication;</w:t>
                  </w:r>
                </w:p>
                <w:p w:rsidR="00030B79" w:rsidRPr="00F0200D" w:rsidRDefault="00030B79" w:rsidP="00030B79">
                  <w:pPr>
                    <w:pStyle w:val="ListParagraph"/>
                    <w:numPr>
                      <w:ilvl w:val="0"/>
                      <w:numId w:val="1"/>
                    </w:numPr>
                    <w:rPr>
                      <w:sz w:val="24"/>
                      <w:szCs w:val="24"/>
                    </w:rPr>
                  </w:pPr>
                  <w:r w:rsidRPr="00F0200D">
                    <w:rPr>
                      <w:sz w:val="24"/>
                      <w:szCs w:val="24"/>
                    </w:rPr>
                    <w:t xml:space="preserve">AHPs and DMP will play a vital role in supporting the person themselves who may be experiencing an unsettled period following and during the reduction of psychotropic medication and support all involved to understand the underlying meaning and function of any behaviour thereby offer a more functional analysis. Such support may take the form of therapy, e.g. art, music, drama or dance, a review of all aspects of communication, a review of all meaningful activity and occupation and ensuring physical well- being. </w:t>
                  </w:r>
                </w:p>
                <w:p w:rsidR="00030B79" w:rsidRDefault="00030B79" w:rsidP="00030B79"/>
                <w:p w:rsidR="00030B79" w:rsidRPr="00F0200D" w:rsidRDefault="00030B79" w:rsidP="00030B79">
                  <w:pPr>
                    <w:rPr>
                      <w:b/>
                      <w:sz w:val="24"/>
                      <w:szCs w:val="24"/>
                    </w:rPr>
                  </w:pPr>
                  <w:r w:rsidRPr="00F0200D">
                    <w:rPr>
                      <w:b/>
                      <w:sz w:val="24"/>
                      <w:szCs w:val="24"/>
                    </w:rPr>
                    <w:t>The Royal College of SLTs specifically will :</w:t>
                  </w:r>
                </w:p>
                <w:p w:rsidR="00030B79" w:rsidRPr="00F0200D" w:rsidRDefault="00030B79" w:rsidP="00030B79">
                  <w:pPr>
                    <w:rPr>
                      <w:sz w:val="24"/>
                      <w:szCs w:val="24"/>
                    </w:rPr>
                  </w:pPr>
                  <w:r w:rsidRPr="00F0200D">
                    <w:rPr>
                      <w:sz w:val="24"/>
                      <w:szCs w:val="24"/>
                    </w:rPr>
                    <w:t xml:space="preserve">Proactively champion that the 5 Good communication standards as quality standards embedded in services to reduce individuals need to use challenging behaviour to communicate their needs </w:t>
                  </w:r>
                </w:p>
                <w:p w:rsidR="00030B79" w:rsidRDefault="00030B79" w:rsidP="00030B79">
                  <w:pPr>
                    <w:pStyle w:val="ListParagraph"/>
                    <w:numPr>
                      <w:ilvl w:val="0"/>
                      <w:numId w:val="4"/>
                    </w:numPr>
                    <w:rPr>
                      <w:bCs/>
                      <w:sz w:val="24"/>
                      <w:szCs w:val="24"/>
                    </w:rPr>
                  </w:pPr>
                  <w:r w:rsidRPr="00F0200D">
                    <w:rPr>
                      <w:bCs/>
                      <w:sz w:val="24"/>
                      <w:szCs w:val="24"/>
                    </w:rPr>
                    <w:t xml:space="preserve">Promote a better understanding and response to the communication needs of people with a LD in order to reduce challenging behaviour and the current over reliance on medication </w:t>
                  </w:r>
                </w:p>
                <w:p w:rsidR="00030B79" w:rsidRDefault="00030B79" w:rsidP="00030B79">
                  <w:pPr>
                    <w:pStyle w:val="ListParagraph"/>
                    <w:rPr>
                      <w:bCs/>
                      <w:sz w:val="24"/>
                      <w:szCs w:val="24"/>
                    </w:rPr>
                  </w:pPr>
                </w:p>
                <w:p w:rsidR="00030B79" w:rsidRPr="00F0200D" w:rsidRDefault="00030B79" w:rsidP="00030B79">
                  <w:pPr>
                    <w:pStyle w:val="ListParagraph"/>
                    <w:numPr>
                      <w:ilvl w:val="0"/>
                      <w:numId w:val="4"/>
                    </w:numPr>
                    <w:rPr>
                      <w:bCs/>
                      <w:sz w:val="24"/>
                      <w:szCs w:val="24"/>
                    </w:rPr>
                  </w:pPr>
                  <w:r w:rsidRPr="00F0200D">
                    <w:rPr>
                      <w:bCs/>
                      <w:sz w:val="24"/>
                      <w:szCs w:val="24"/>
                    </w:rPr>
                    <w:t xml:space="preserve">Ensure awareness of the impact of medication on swallowing function </w:t>
                  </w:r>
                </w:p>
                <w:p w:rsidR="00030B79" w:rsidRPr="006F22A7" w:rsidRDefault="00030B79" w:rsidP="00030B79">
                  <w:pPr>
                    <w:rPr>
                      <w:b/>
                      <w:sz w:val="24"/>
                      <w:szCs w:val="24"/>
                    </w:rPr>
                  </w:pPr>
                  <w:bookmarkStart w:id="0" w:name="_GoBack"/>
                  <w:bookmarkEnd w:id="0"/>
                  <w:r w:rsidRPr="006F22A7">
                    <w:rPr>
                      <w:b/>
                      <w:sz w:val="24"/>
                      <w:szCs w:val="24"/>
                    </w:rPr>
                    <w:lastRenderedPageBreak/>
                    <w:t>The Four Arts Therapies Professional Associations will</w:t>
                  </w:r>
                  <w:r>
                    <w:rPr>
                      <w:b/>
                      <w:sz w:val="24"/>
                      <w:szCs w:val="24"/>
                    </w:rPr>
                    <w:t xml:space="preserve"> specifically promote</w:t>
                  </w:r>
                  <w:r w:rsidRPr="006F22A7">
                    <w:rPr>
                      <w:b/>
                      <w:sz w:val="24"/>
                      <w:szCs w:val="24"/>
                    </w:rPr>
                    <w:t>:</w:t>
                  </w:r>
                </w:p>
                <w:p w:rsidR="00030B79" w:rsidRDefault="00030B79" w:rsidP="00030B79">
                  <w:pPr>
                    <w:pStyle w:val="ListParagraph"/>
                    <w:numPr>
                      <w:ilvl w:val="0"/>
                      <w:numId w:val="5"/>
                    </w:numPr>
                    <w:rPr>
                      <w:sz w:val="24"/>
                      <w:szCs w:val="24"/>
                    </w:rPr>
                  </w:pPr>
                  <w:r w:rsidRPr="00F0200D">
                    <w:rPr>
                      <w:sz w:val="24"/>
                      <w:szCs w:val="24"/>
                    </w:rPr>
                    <w:t>Proactively promote the use of non-verbal creative media (music, art, drama or dance) to provide detailed assessment and treatment, including crisis intervention of a person with a learning disability and additional mental health needs – including challenging behaviour – reg</w:t>
                  </w:r>
                  <w:r>
                    <w:rPr>
                      <w:sz w:val="24"/>
                      <w:szCs w:val="24"/>
                    </w:rPr>
                    <w:t xml:space="preserve">ardless of a person’s access to </w:t>
                  </w:r>
                  <w:r w:rsidRPr="00F0200D">
                    <w:rPr>
                      <w:sz w:val="24"/>
                      <w:szCs w:val="24"/>
                    </w:rPr>
                    <w:t xml:space="preserve">words and verbal communication. </w:t>
                  </w:r>
                </w:p>
                <w:p w:rsidR="00030B79" w:rsidRPr="00F0200D" w:rsidRDefault="00030B79" w:rsidP="00030B79">
                  <w:pPr>
                    <w:pStyle w:val="ListParagraph"/>
                    <w:rPr>
                      <w:sz w:val="24"/>
                      <w:szCs w:val="24"/>
                    </w:rPr>
                  </w:pPr>
                </w:p>
                <w:p w:rsidR="00030B79" w:rsidRPr="00E678DC" w:rsidRDefault="00030B79" w:rsidP="00030B79">
                  <w:pPr>
                    <w:pStyle w:val="ListParagraph"/>
                    <w:numPr>
                      <w:ilvl w:val="0"/>
                      <w:numId w:val="5"/>
                    </w:numPr>
                    <w:rPr>
                      <w:b/>
                      <w:sz w:val="24"/>
                      <w:szCs w:val="24"/>
                    </w:rPr>
                  </w:pPr>
                  <w:r w:rsidRPr="00F0200D">
                    <w:rPr>
                      <w:sz w:val="24"/>
                      <w:szCs w:val="24"/>
                    </w:rPr>
                    <w:t xml:space="preserve">Offer detailed observation of the individual’s use of the creative </w:t>
                  </w:r>
                  <w:r w:rsidRPr="00F0200D">
                    <w:rPr>
                      <w:rFonts w:cs="Arial"/>
                      <w:sz w:val="24"/>
                      <w:szCs w:val="24"/>
                    </w:rPr>
                    <w:t xml:space="preserve">medium and the relationship that they build with the therapist, to provide important information including understanding a service user’s behaviour as a means of communication in itself, for both the care team around them and families, as well as the individual themselves. This may, over time, lead to an improvement in mental health and a reduction in challenging behaviour when delivered as part of a multidisciplinary care package. </w:t>
                  </w:r>
                </w:p>
                <w:p w:rsidR="00030B79" w:rsidRDefault="00030B79" w:rsidP="00030B79">
                  <w:pPr>
                    <w:rPr>
                      <w:b/>
                      <w:sz w:val="24"/>
                      <w:szCs w:val="24"/>
                    </w:rPr>
                  </w:pPr>
                </w:p>
                <w:p w:rsidR="00030B79" w:rsidRDefault="00030B79" w:rsidP="00030B79">
                  <w:pPr>
                    <w:rPr>
                      <w:b/>
                      <w:sz w:val="24"/>
                      <w:szCs w:val="24"/>
                    </w:rPr>
                  </w:pPr>
                </w:p>
                <w:p w:rsidR="00030B79" w:rsidRPr="00724817" w:rsidRDefault="00030B79" w:rsidP="00030B79">
                  <w:pPr>
                    <w:rPr>
                      <w:sz w:val="24"/>
                      <w:szCs w:val="24"/>
                    </w:rPr>
                  </w:pPr>
                  <w:r w:rsidRPr="00724817">
                    <w:rPr>
                      <w:b/>
                      <w:sz w:val="24"/>
                      <w:szCs w:val="24"/>
                    </w:rPr>
                    <w:t xml:space="preserve">Chartered Society of Physiotherapy </w:t>
                  </w:r>
                  <w:r>
                    <w:rPr>
                      <w:b/>
                      <w:sz w:val="24"/>
                      <w:szCs w:val="24"/>
                    </w:rPr>
                    <w:t xml:space="preserve"> specifically </w:t>
                  </w:r>
                  <w:r w:rsidRPr="00724817">
                    <w:rPr>
                      <w:b/>
                      <w:sz w:val="24"/>
                      <w:szCs w:val="24"/>
                    </w:rPr>
                    <w:t>will:</w:t>
                  </w:r>
                </w:p>
                <w:p w:rsidR="00030B79" w:rsidRPr="00724817" w:rsidRDefault="00030B79" w:rsidP="00030B79">
                  <w:pPr>
                    <w:pStyle w:val="ListParagraph"/>
                    <w:numPr>
                      <w:ilvl w:val="0"/>
                      <w:numId w:val="2"/>
                    </w:numPr>
                    <w:rPr>
                      <w:sz w:val="24"/>
                      <w:szCs w:val="24"/>
                    </w:rPr>
                  </w:pPr>
                  <w:r w:rsidRPr="00724817">
                    <w:rPr>
                      <w:sz w:val="24"/>
                      <w:szCs w:val="24"/>
                    </w:rPr>
                    <w:t>Raise awareness of the impact that the secondary side effects of over medication, such as weight gain; drug induced motor disorders, drowsiness, fatigue and apathy can have when delivering physiotherapy interventions.</w:t>
                  </w:r>
                </w:p>
                <w:p w:rsidR="00030B79" w:rsidRDefault="00030B79" w:rsidP="00030B79">
                  <w:pPr>
                    <w:pStyle w:val="ListParagraph"/>
                    <w:rPr>
                      <w:sz w:val="24"/>
                      <w:szCs w:val="24"/>
                    </w:rPr>
                  </w:pPr>
                </w:p>
                <w:p w:rsidR="00030B79" w:rsidRPr="00724817" w:rsidRDefault="00030B79" w:rsidP="00030B79">
                  <w:pPr>
                    <w:pStyle w:val="ListParagraph"/>
                    <w:numPr>
                      <w:ilvl w:val="0"/>
                      <w:numId w:val="2"/>
                    </w:numPr>
                    <w:rPr>
                      <w:sz w:val="24"/>
                      <w:szCs w:val="24"/>
                    </w:rPr>
                  </w:pPr>
                  <w:r w:rsidRPr="00724817">
                    <w:rPr>
                      <w:sz w:val="24"/>
                      <w:szCs w:val="24"/>
                    </w:rPr>
                    <w:t>Promote the importance of opportunities to engage in physical activities and the role physical activity has on improving health and well-being and quality of life.</w:t>
                  </w:r>
                </w:p>
                <w:p w:rsidR="00030B79" w:rsidRPr="00724817" w:rsidRDefault="00030B79" w:rsidP="00030B79">
                  <w:pPr>
                    <w:pStyle w:val="ListParagraph"/>
                    <w:rPr>
                      <w:sz w:val="24"/>
                      <w:szCs w:val="24"/>
                    </w:rPr>
                  </w:pPr>
                </w:p>
                <w:p w:rsidR="00030B79" w:rsidRPr="00FF1D17" w:rsidRDefault="00030B79" w:rsidP="00030B79">
                  <w:pPr>
                    <w:pStyle w:val="ListParagraph"/>
                    <w:numPr>
                      <w:ilvl w:val="0"/>
                      <w:numId w:val="2"/>
                    </w:numPr>
                    <w:rPr>
                      <w:sz w:val="24"/>
                      <w:szCs w:val="24"/>
                    </w:rPr>
                  </w:pPr>
                  <w:r w:rsidRPr="00FF1D17">
                    <w:rPr>
                      <w:sz w:val="24"/>
                      <w:szCs w:val="24"/>
                    </w:rPr>
                    <w:t>Encourage Physiotherapists to work with all members of the multidisciplinary team in supporting the reduction of medication.</w:t>
                  </w:r>
                </w:p>
                <w:p w:rsidR="00030B79" w:rsidRPr="009A64E2" w:rsidRDefault="00030B79" w:rsidP="00030B79">
                  <w:pPr>
                    <w:pStyle w:val="ListParagraph"/>
                    <w:rPr>
                      <w:sz w:val="24"/>
                      <w:szCs w:val="24"/>
                    </w:rPr>
                  </w:pPr>
                </w:p>
                <w:p w:rsidR="00030B79" w:rsidRPr="009A64E2" w:rsidRDefault="00030B79" w:rsidP="00030B79">
                  <w:pPr>
                    <w:rPr>
                      <w:sz w:val="24"/>
                      <w:szCs w:val="24"/>
                    </w:rPr>
                  </w:pPr>
                </w:p>
                <w:p w:rsidR="00030B79" w:rsidRPr="009A64E2" w:rsidRDefault="00030B79" w:rsidP="00030B79">
                  <w:pPr>
                    <w:rPr>
                      <w:b/>
                      <w:sz w:val="24"/>
                      <w:szCs w:val="24"/>
                    </w:rPr>
                  </w:pPr>
                  <w:r w:rsidRPr="009A64E2">
                    <w:rPr>
                      <w:b/>
                      <w:sz w:val="24"/>
                      <w:szCs w:val="24"/>
                    </w:rPr>
                    <w:t xml:space="preserve">The British Dietetic Association </w:t>
                  </w:r>
                  <w:r>
                    <w:rPr>
                      <w:b/>
                      <w:sz w:val="24"/>
                      <w:szCs w:val="24"/>
                    </w:rPr>
                    <w:t xml:space="preserve">specifically </w:t>
                  </w:r>
                  <w:r w:rsidRPr="009A64E2">
                    <w:rPr>
                      <w:b/>
                      <w:sz w:val="24"/>
                      <w:szCs w:val="24"/>
                    </w:rPr>
                    <w:t>will:</w:t>
                  </w:r>
                </w:p>
                <w:p w:rsidR="00030B79" w:rsidRDefault="00030B79" w:rsidP="00030B79">
                  <w:pPr>
                    <w:pStyle w:val="ListParagraph"/>
                    <w:numPr>
                      <w:ilvl w:val="0"/>
                      <w:numId w:val="3"/>
                    </w:numPr>
                    <w:rPr>
                      <w:sz w:val="24"/>
                      <w:szCs w:val="24"/>
                    </w:rPr>
                  </w:pPr>
                  <w:r w:rsidRPr="009A64E2">
                    <w:rPr>
                      <w:sz w:val="24"/>
                      <w:szCs w:val="24"/>
                    </w:rPr>
                    <w:t xml:space="preserve">Raise awareness of the impact many psychotropic drugs have on a person’s physical health including weight gain, derangement of lipid profiles and increased risk of type </w:t>
                  </w:r>
                  <w:proofErr w:type="gramStart"/>
                  <w:r w:rsidRPr="009A64E2">
                    <w:rPr>
                      <w:sz w:val="24"/>
                      <w:szCs w:val="24"/>
                    </w:rPr>
                    <w:t>2 diabetes</w:t>
                  </w:r>
                  <w:proofErr w:type="gramEnd"/>
                  <w:r w:rsidRPr="009A64E2">
                    <w:rPr>
                      <w:sz w:val="24"/>
                      <w:szCs w:val="24"/>
                    </w:rPr>
                    <w:t>.</w:t>
                  </w:r>
                </w:p>
                <w:p w:rsidR="00030B79" w:rsidRPr="009A64E2" w:rsidRDefault="00030B79" w:rsidP="00030B79">
                  <w:pPr>
                    <w:pStyle w:val="ListParagraph"/>
                    <w:rPr>
                      <w:sz w:val="24"/>
                      <w:szCs w:val="24"/>
                    </w:rPr>
                  </w:pPr>
                </w:p>
                <w:p w:rsidR="00030B79" w:rsidRDefault="00030B79" w:rsidP="00030B79">
                  <w:pPr>
                    <w:pStyle w:val="ListParagraph"/>
                    <w:numPr>
                      <w:ilvl w:val="0"/>
                      <w:numId w:val="3"/>
                    </w:numPr>
                    <w:rPr>
                      <w:sz w:val="24"/>
                      <w:szCs w:val="24"/>
                    </w:rPr>
                  </w:pPr>
                  <w:r w:rsidRPr="009A64E2">
                    <w:rPr>
                      <w:sz w:val="24"/>
                      <w:szCs w:val="24"/>
                    </w:rPr>
                    <w:t xml:space="preserve">Dietitians will provide appropriate dietary interventions, guidance and support, where possible to individuals, families and carers to reduce or support management of the above side effects and to promote maintenance of a person’s optimal physical health. </w:t>
                  </w:r>
                </w:p>
                <w:p w:rsidR="00030B79" w:rsidRPr="00030B79" w:rsidRDefault="00030B79" w:rsidP="00030B79">
                  <w:pPr>
                    <w:pStyle w:val="ListParagraph"/>
                    <w:rPr>
                      <w:sz w:val="24"/>
                      <w:szCs w:val="24"/>
                    </w:rPr>
                  </w:pPr>
                </w:p>
                <w:p w:rsidR="00030B79" w:rsidRPr="009A64E2" w:rsidRDefault="00030B79" w:rsidP="00030B79">
                  <w:pPr>
                    <w:pStyle w:val="ListParagraph"/>
                    <w:numPr>
                      <w:ilvl w:val="0"/>
                      <w:numId w:val="3"/>
                    </w:numPr>
                    <w:rPr>
                      <w:sz w:val="24"/>
                      <w:szCs w:val="24"/>
                    </w:rPr>
                  </w:pPr>
                  <w:r w:rsidRPr="009A64E2">
                    <w:rPr>
                      <w:sz w:val="24"/>
                      <w:szCs w:val="24"/>
                    </w:rPr>
                    <w:t>Dietitians will support multi-disciplinary discussion with regards to alternatives to medication where appropriate to prevent unwanted side effects from medications.</w:t>
                  </w:r>
                </w:p>
                <w:p w:rsidR="00030B79" w:rsidRDefault="00030B79" w:rsidP="00030B79">
                  <w:pPr>
                    <w:rPr>
                      <w:b/>
                      <w:sz w:val="24"/>
                      <w:szCs w:val="24"/>
                    </w:rPr>
                  </w:pPr>
                </w:p>
                <w:p w:rsidR="00030B79" w:rsidRDefault="00030B79" w:rsidP="00030B79">
                  <w:pPr>
                    <w:rPr>
                      <w:b/>
                      <w:sz w:val="24"/>
                      <w:szCs w:val="24"/>
                    </w:rPr>
                  </w:pPr>
                </w:p>
                <w:p w:rsidR="00030B79" w:rsidRDefault="00030B79" w:rsidP="00030B79">
                  <w:pPr>
                    <w:rPr>
                      <w:b/>
                      <w:sz w:val="24"/>
                      <w:szCs w:val="24"/>
                    </w:rPr>
                  </w:pPr>
                </w:p>
                <w:p w:rsidR="00030B79" w:rsidRDefault="00030B79" w:rsidP="00030B79">
                  <w:pPr>
                    <w:rPr>
                      <w:b/>
                      <w:sz w:val="24"/>
                      <w:szCs w:val="24"/>
                    </w:rPr>
                  </w:pPr>
                </w:p>
                <w:p w:rsidR="00030B79" w:rsidRPr="007458CC" w:rsidRDefault="00030B79" w:rsidP="00030B79">
                  <w:pPr>
                    <w:rPr>
                      <w:b/>
                      <w:sz w:val="24"/>
                      <w:szCs w:val="24"/>
                    </w:rPr>
                  </w:pPr>
                  <w:r w:rsidRPr="007458CC">
                    <w:rPr>
                      <w:b/>
                      <w:sz w:val="24"/>
                      <w:szCs w:val="24"/>
                    </w:rPr>
                    <w:t>Authors:</w:t>
                  </w:r>
                </w:p>
                <w:p w:rsidR="00030B79" w:rsidRDefault="00030B79" w:rsidP="00030B79">
                  <w:r>
                    <w:lastRenderedPageBreak/>
                    <w:t xml:space="preserve">Viki Baker, Director of Learning Disability and </w:t>
                  </w:r>
                  <w:proofErr w:type="spellStart"/>
                  <w:r>
                    <w:t>Neurobehavioural</w:t>
                  </w:r>
                  <w:proofErr w:type="spellEnd"/>
                  <w:r>
                    <w:t xml:space="preserve"> Services, Professional Advisor for Speech and Language Therapy. Sussex Partnership NHS Foundation Trust</w:t>
                  </w:r>
                </w:p>
                <w:p w:rsidR="00030B79" w:rsidRDefault="00030B79" w:rsidP="00030B79"/>
                <w:p w:rsidR="00030B79" w:rsidRDefault="00030B79" w:rsidP="00030B79">
                  <w:r>
                    <w:t>Wendy Ruck, Professional Head of Arts Therapies, Lead Clinical Specialist Music Therapist. Hertfordshire Partnership University NHS Foundation Trust</w:t>
                  </w:r>
                </w:p>
                <w:p w:rsidR="00030B79" w:rsidRDefault="00030B79" w:rsidP="00030B79"/>
                <w:p w:rsidR="00030B79" w:rsidRDefault="00030B79" w:rsidP="00030B79">
                  <w:proofErr w:type="spellStart"/>
                  <w:r>
                    <w:t>Nairne</w:t>
                  </w:r>
                  <w:proofErr w:type="spellEnd"/>
                  <w:r>
                    <w:t xml:space="preserve"> Shaw, Advanced Dietitian. Northumberland Tyne and Wear NHS Foundation Trust</w:t>
                  </w:r>
                </w:p>
                <w:p w:rsidR="00030B79" w:rsidRDefault="00030B79" w:rsidP="00030B79"/>
                <w:p w:rsidR="00030B79" w:rsidRDefault="00030B79" w:rsidP="00030B79">
                  <w:r>
                    <w:t xml:space="preserve">Dr. Jenny Tinkler, Clinical Specialist Physiotherapist. Tees, </w:t>
                  </w:r>
                  <w:proofErr w:type="spellStart"/>
                  <w:r>
                    <w:t>Esk</w:t>
                  </w:r>
                  <w:proofErr w:type="spellEnd"/>
                  <w:r>
                    <w:t xml:space="preserve"> and Wear Valleys NHS Foundation Trust</w:t>
                  </w:r>
                </w:p>
                <w:p w:rsidR="00030B79" w:rsidRDefault="00030B79" w:rsidP="00030B79"/>
                <w:p w:rsidR="00030B79" w:rsidRDefault="00030B79" w:rsidP="00030B79"/>
                <w:p w:rsidR="00030B79" w:rsidRDefault="00030B79" w:rsidP="00030B79"/>
                <w:p w:rsidR="00030B79" w:rsidRDefault="00030B79" w:rsidP="00030B79">
                  <w:r>
                    <w:t>References:</w:t>
                  </w:r>
                </w:p>
                <w:p w:rsidR="00030B79" w:rsidRDefault="00CB262A" w:rsidP="00030B79">
                  <w:pPr>
                    <w:rPr>
                      <w:b/>
                      <w:bCs/>
                    </w:rPr>
                  </w:pPr>
                  <w:hyperlink r:id="rId16" w:history="1">
                    <w:r w:rsidR="00030B79">
                      <w:rPr>
                        <w:rStyle w:val="Hyperlink"/>
                        <w:b/>
                        <w:bCs/>
                      </w:rPr>
                      <w:t>https://www.rcpsych.ac.uk/pdf/STOMP_Faculty_Psychiatry_Intellectual_Disability_(002).pdf</w:t>
                    </w:r>
                  </w:hyperlink>
                  <w:r w:rsidR="00030B79">
                    <w:rPr>
                      <w:b/>
                      <w:bCs/>
                    </w:rPr>
                    <w:t xml:space="preserve"> retrieved 11</w:t>
                  </w:r>
                  <w:r w:rsidR="00030B79" w:rsidRPr="00753671">
                    <w:rPr>
                      <w:b/>
                      <w:bCs/>
                      <w:vertAlign w:val="superscript"/>
                    </w:rPr>
                    <w:t>th</w:t>
                  </w:r>
                  <w:r w:rsidR="00030B79">
                    <w:rPr>
                      <w:b/>
                      <w:bCs/>
                    </w:rPr>
                    <w:t xml:space="preserve"> October 2017 at 21.00</w:t>
                  </w:r>
                </w:p>
                <w:p w:rsidR="00030B79" w:rsidRDefault="00030B79" w:rsidP="00030B79">
                  <w:r w:rsidRPr="00753671">
                    <w:t>https://www.england.nhs.uk/learning-disabilities/stomp/</w:t>
                  </w:r>
                  <w:r>
                    <w:t xml:space="preserve"> retrieved 11</w:t>
                  </w:r>
                  <w:r w:rsidRPr="00753671">
                    <w:rPr>
                      <w:vertAlign w:val="superscript"/>
                    </w:rPr>
                    <w:t>th</w:t>
                  </w:r>
                  <w:r>
                    <w:t xml:space="preserve"> October 2017 at 21.00</w:t>
                  </w:r>
                </w:p>
                <w:p w:rsidR="00030B79" w:rsidRPr="005D6817" w:rsidRDefault="00CB262A" w:rsidP="00030B79">
                  <w:pPr>
                    <w:rPr>
                      <w:rFonts w:ascii="Arial" w:eastAsia="Times New Roman" w:hAnsi="Arial" w:cs="Arial"/>
                      <w:color w:val="666666"/>
                      <w:lang w:eastAsia="en-GB"/>
                    </w:rPr>
                  </w:pPr>
                  <w:hyperlink r:id="rId17" w:history="1">
                    <w:r w:rsidR="00030B79" w:rsidRPr="00B3468E">
                      <w:rPr>
                        <w:rStyle w:val="Hyperlink"/>
                        <w:rFonts w:ascii="Arial" w:eastAsia="Times New Roman" w:hAnsi="Arial" w:cs="Arial"/>
                        <w:iCs/>
                        <w:lang w:eastAsia="en-GB"/>
                      </w:rPr>
                      <w:t>https://www.england.nhs.uk/learning-disabilities/care</w:t>
                    </w:r>
                  </w:hyperlink>
                  <w:r w:rsidR="00030B79">
                    <w:rPr>
                      <w:rFonts w:ascii="Arial" w:eastAsia="Times New Roman" w:hAnsi="Arial" w:cs="Arial"/>
                      <w:iCs/>
                      <w:color w:val="666666"/>
                      <w:lang w:eastAsia="en-GB"/>
                    </w:rPr>
                    <w:t xml:space="preserve">  retrieved 29</w:t>
                  </w:r>
                  <w:r w:rsidR="00030B79" w:rsidRPr="005D6817">
                    <w:rPr>
                      <w:rFonts w:ascii="Arial" w:eastAsia="Times New Roman" w:hAnsi="Arial" w:cs="Arial"/>
                      <w:iCs/>
                      <w:color w:val="666666"/>
                      <w:vertAlign w:val="superscript"/>
                      <w:lang w:eastAsia="en-GB"/>
                    </w:rPr>
                    <w:t>th</w:t>
                  </w:r>
                  <w:r w:rsidR="00030B79">
                    <w:rPr>
                      <w:rFonts w:ascii="Arial" w:eastAsia="Times New Roman" w:hAnsi="Arial" w:cs="Arial"/>
                      <w:iCs/>
                      <w:color w:val="666666"/>
                      <w:lang w:eastAsia="en-GB"/>
                    </w:rPr>
                    <w:t xml:space="preserve"> November 2017 at 21.30</w:t>
                  </w:r>
                </w:p>
                <w:p w:rsidR="003A2076" w:rsidRPr="00030B79" w:rsidRDefault="003A2076" w:rsidP="00C808AD">
                  <w:pPr>
                    <w:rPr>
                      <w:rFonts w:ascii="Arial" w:hAnsi="Arial" w:cs="Arial"/>
                      <w:b/>
                      <w:sz w:val="24"/>
                      <w:szCs w:val="24"/>
                    </w:rPr>
                  </w:pPr>
                </w:p>
                <w:p w:rsidR="00DF5EFC" w:rsidRDefault="00DF5EFC" w:rsidP="00C808AD">
                  <w:pPr>
                    <w:rPr>
                      <w:rFonts w:ascii="Arial" w:hAnsi="Arial" w:cs="Arial"/>
                      <w:b/>
                      <w:sz w:val="52"/>
                      <w:szCs w:val="52"/>
                    </w:rPr>
                  </w:pPr>
                </w:p>
                <w:p w:rsidR="00DF5EFC" w:rsidRDefault="00DF5EFC" w:rsidP="00C808AD">
                  <w:pPr>
                    <w:rPr>
                      <w:rFonts w:ascii="Arial" w:hAnsi="Arial" w:cs="Arial"/>
                      <w:b/>
                      <w:sz w:val="52"/>
                      <w:szCs w:val="52"/>
                    </w:rPr>
                  </w:pPr>
                </w:p>
                <w:p w:rsidR="00DF5EFC" w:rsidRDefault="00DF5EFC" w:rsidP="00C808AD">
                  <w:pPr>
                    <w:rPr>
                      <w:rFonts w:ascii="Arial" w:hAnsi="Arial" w:cs="Arial"/>
                      <w:b/>
                      <w:sz w:val="52"/>
                      <w:szCs w:val="52"/>
                    </w:rPr>
                  </w:pPr>
                </w:p>
                <w:p w:rsidR="00DF5EFC" w:rsidRDefault="00DF5EFC" w:rsidP="00C808AD">
                  <w:pPr>
                    <w:rPr>
                      <w:rFonts w:ascii="Arial" w:hAnsi="Arial" w:cs="Arial"/>
                      <w:b/>
                      <w:sz w:val="52"/>
                      <w:szCs w:val="52"/>
                    </w:rPr>
                  </w:pPr>
                </w:p>
              </w:tc>
            </w:tr>
          </w:tbl>
          <w:p w:rsidR="00C808AD" w:rsidRDefault="00C808AD" w:rsidP="00C808AD">
            <w:pPr>
              <w:rPr>
                <w:rFonts w:ascii="Arial" w:hAnsi="Arial" w:cs="Arial"/>
                <w:b/>
                <w:sz w:val="52"/>
                <w:szCs w:val="52"/>
              </w:rPr>
            </w:pPr>
          </w:p>
        </w:tc>
        <w:tc>
          <w:tcPr>
            <w:tcW w:w="4621" w:type="dxa"/>
            <w:tcBorders>
              <w:top w:val="nil"/>
              <w:left w:val="nil"/>
              <w:bottom w:val="nil"/>
              <w:right w:val="nil"/>
            </w:tcBorders>
          </w:tcPr>
          <w:p w:rsidR="00C808AD" w:rsidRDefault="00C808AD" w:rsidP="00C808AD">
            <w:pPr>
              <w:rPr>
                <w:rFonts w:ascii="Arial" w:hAnsi="Arial" w:cs="Arial"/>
                <w:b/>
                <w:sz w:val="52"/>
                <w:szCs w:val="52"/>
              </w:rPr>
            </w:pPr>
          </w:p>
        </w:tc>
      </w:tr>
    </w:tbl>
    <w:p w:rsidR="00C808AD" w:rsidRDefault="00C808AD" w:rsidP="00C808AD">
      <w:pPr>
        <w:rPr>
          <w:rFonts w:ascii="Arial" w:hAnsi="Arial" w:cs="Arial"/>
          <w:b/>
          <w:sz w:val="52"/>
          <w:szCs w:val="52"/>
        </w:rPr>
      </w:pPr>
    </w:p>
    <w:p w:rsidR="004E6A72" w:rsidRPr="000F45EF" w:rsidRDefault="004E6A72" w:rsidP="004E6A72">
      <w:pPr>
        <w:rPr>
          <w:rFonts w:ascii="Arial" w:hAnsi="Arial" w:cs="Arial"/>
          <w:b/>
          <w:sz w:val="52"/>
          <w:szCs w:val="52"/>
        </w:rPr>
      </w:pPr>
    </w:p>
    <w:p w:rsidR="008F2987" w:rsidRDefault="00AC5DBB">
      <w:pPr>
        <w:rPr>
          <w:rFonts w:ascii="Arial" w:hAnsi="Arial" w:cs="Arial"/>
          <w:sz w:val="52"/>
          <w:szCs w:val="52"/>
        </w:rPr>
      </w:pPr>
    </w:p>
    <w:p w:rsidR="000F45EF" w:rsidRDefault="000F45EF">
      <w:pPr>
        <w:rPr>
          <w:rFonts w:ascii="Arial" w:hAnsi="Arial" w:cs="Arial"/>
          <w:sz w:val="52"/>
          <w:szCs w:val="52"/>
        </w:rPr>
      </w:pPr>
    </w:p>
    <w:p w:rsidR="000F45EF" w:rsidRDefault="000F45EF">
      <w:pPr>
        <w:rPr>
          <w:rFonts w:ascii="Arial" w:hAnsi="Arial" w:cs="Arial"/>
          <w:sz w:val="52"/>
          <w:szCs w:val="52"/>
        </w:rPr>
      </w:pPr>
    </w:p>
    <w:p w:rsidR="000F45EF" w:rsidRDefault="000F45EF">
      <w:pPr>
        <w:rPr>
          <w:rFonts w:ascii="Arial" w:hAnsi="Arial" w:cs="Arial"/>
          <w:sz w:val="52"/>
          <w:szCs w:val="52"/>
        </w:rPr>
      </w:pPr>
    </w:p>
    <w:p w:rsidR="000F45EF" w:rsidRDefault="000F45EF">
      <w:pPr>
        <w:rPr>
          <w:rFonts w:ascii="Arial" w:hAnsi="Arial" w:cs="Arial"/>
          <w:sz w:val="52"/>
          <w:szCs w:val="52"/>
        </w:rPr>
      </w:pPr>
    </w:p>
    <w:p w:rsidR="000F45EF" w:rsidRDefault="000F45EF">
      <w:pPr>
        <w:rPr>
          <w:rFonts w:ascii="Arial" w:hAnsi="Arial" w:cs="Arial"/>
          <w:sz w:val="18"/>
          <w:szCs w:val="18"/>
        </w:rPr>
      </w:pPr>
    </w:p>
    <w:sectPr w:rsidR="000F45EF" w:rsidSect="00CB262A">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08D" w:rsidRDefault="0036308D" w:rsidP="00030B79">
      <w:pPr>
        <w:spacing w:after="0" w:line="240" w:lineRule="auto"/>
      </w:pPr>
      <w:r>
        <w:separator/>
      </w:r>
    </w:p>
  </w:endnote>
  <w:endnote w:type="continuationSeparator" w:id="0">
    <w:p w:rsidR="0036308D" w:rsidRDefault="0036308D" w:rsidP="00030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595612"/>
      <w:docPartObj>
        <w:docPartGallery w:val="Page Numbers (Bottom of Page)"/>
        <w:docPartUnique/>
      </w:docPartObj>
    </w:sdtPr>
    <w:sdtEndPr>
      <w:rPr>
        <w:noProof/>
      </w:rPr>
    </w:sdtEndPr>
    <w:sdtContent>
      <w:p w:rsidR="00030B79" w:rsidRDefault="00CB262A">
        <w:pPr>
          <w:pStyle w:val="Footer"/>
          <w:jc w:val="center"/>
        </w:pPr>
        <w:r>
          <w:fldChar w:fldCharType="begin"/>
        </w:r>
        <w:r w:rsidR="00030B79">
          <w:instrText xml:space="preserve"> PAGE   \* MERGEFORMAT </w:instrText>
        </w:r>
        <w:r>
          <w:fldChar w:fldCharType="separate"/>
        </w:r>
        <w:r w:rsidR="00AC5DBB">
          <w:rPr>
            <w:noProof/>
          </w:rPr>
          <w:t>2</w:t>
        </w:r>
        <w:r>
          <w:rPr>
            <w:noProof/>
          </w:rPr>
          <w:fldChar w:fldCharType="end"/>
        </w:r>
      </w:p>
    </w:sdtContent>
  </w:sdt>
  <w:p w:rsidR="00030B79" w:rsidRDefault="00030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08D" w:rsidRDefault="0036308D" w:rsidP="00030B79">
      <w:pPr>
        <w:spacing w:after="0" w:line="240" w:lineRule="auto"/>
      </w:pPr>
      <w:r>
        <w:separator/>
      </w:r>
    </w:p>
  </w:footnote>
  <w:footnote w:type="continuationSeparator" w:id="0">
    <w:p w:rsidR="0036308D" w:rsidRDefault="0036308D" w:rsidP="00030B79">
      <w:pPr>
        <w:spacing w:after="0" w:line="240" w:lineRule="auto"/>
      </w:pPr>
      <w:r>
        <w:continuationSeparator/>
      </w:r>
    </w:p>
  </w:footnote>
  <w:footnote w:id="1">
    <w:p w:rsidR="00030B79" w:rsidRDefault="00030B79" w:rsidP="00030B79">
      <w:pPr>
        <w:pStyle w:val="FootnoteText"/>
      </w:pPr>
      <w:r>
        <w:rPr>
          <w:rStyle w:val="FootnoteReference"/>
        </w:rPr>
        <w:footnoteRef/>
      </w:r>
      <w:r>
        <w:t xml:space="preserve"> All of the professions listed with the exception of Dance Movement Psychotherapy are collectively known as Allied Health Professions and will be referred to as such throughout this document.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8669D"/>
    <w:multiLevelType w:val="hybridMultilevel"/>
    <w:tmpl w:val="E2F2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D0E61"/>
    <w:multiLevelType w:val="hybridMultilevel"/>
    <w:tmpl w:val="7D3E59D4"/>
    <w:lvl w:ilvl="0" w:tplc="9F480D1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56F4B"/>
    <w:multiLevelType w:val="hybridMultilevel"/>
    <w:tmpl w:val="C420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3D074F"/>
    <w:multiLevelType w:val="hybridMultilevel"/>
    <w:tmpl w:val="10A60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B5E2245"/>
    <w:multiLevelType w:val="hybridMultilevel"/>
    <w:tmpl w:val="B1FEE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45EF"/>
    <w:rsid w:val="00030B79"/>
    <w:rsid w:val="000F45EF"/>
    <w:rsid w:val="002C1AAF"/>
    <w:rsid w:val="00350C79"/>
    <w:rsid w:val="0036308D"/>
    <w:rsid w:val="003A2076"/>
    <w:rsid w:val="003E3246"/>
    <w:rsid w:val="004E570D"/>
    <w:rsid w:val="004E6A72"/>
    <w:rsid w:val="007867C1"/>
    <w:rsid w:val="0085605D"/>
    <w:rsid w:val="00AC5DBB"/>
    <w:rsid w:val="00C808AD"/>
    <w:rsid w:val="00CB262A"/>
    <w:rsid w:val="00D83BB4"/>
    <w:rsid w:val="00DC19C1"/>
    <w:rsid w:val="00DF5EFC"/>
    <w:rsid w:val="00F90996"/>
    <w:rsid w:val="00FD77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EF"/>
    <w:rPr>
      <w:rFonts w:ascii="Tahoma" w:hAnsi="Tahoma" w:cs="Tahoma"/>
      <w:sz w:val="16"/>
      <w:szCs w:val="16"/>
    </w:rPr>
  </w:style>
  <w:style w:type="table" w:styleId="TableGrid">
    <w:name w:val="Table Grid"/>
    <w:basedOn w:val="TableNormal"/>
    <w:uiPriority w:val="59"/>
    <w:rsid w:val="00C80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30B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0B79"/>
    <w:pPr>
      <w:ind w:left="720"/>
      <w:contextualSpacing/>
    </w:pPr>
  </w:style>
  <w:style w:type="character" w:styleId="Hyperlink">
    <w:name w:val="Hyperlink"/>
    <w:basedOn w:val="DefaultParagraphFont"/>
    <w:uiPriority w:val="99"/>
    <w:unhideWhenUsed/>
    <w:rsid w:val="00030B79"/>
    <w:rPr>
      <w:color w:val="0000FF"/>
      <w:u w:val="single"/>
    </w:rPr>
  </w:style>
  <w:style w:type="paragraph" w:styleId="FootnoteText">
    <w:name w:val="footnote text"/>
    <w:basedOn w:val="Normal"/>
    <w:link w:val="FootnoteTextChar"/>
    <w:uiPriority w:val="99"/>
    <w:semiHidden/>
    <w:unhideWhenUsed/>
    <w:rsid w:val="00030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B79"/>
    <w:rPr>
      <w:sz w:val="20"/>
      <w:szCs w:val="20"/>
    </w:rPr>
  </w:style>
  <w:style w:type="character" w:styleId="FootnoteReference">
    <w:name w:val="footnote reference"/>
    <w:basedOn w:val="DefaultParagraphFont"/>
    <w:uiPriority w:val="99"/>
    <w:semiHidden/>
    <w:unhideWhenUsed/>
    <w:rsid w:val="00030B79"/>
    <w:rPr>
      <w:vertAlign w:val="superscript"/>
    </w:rPr>
  </w:style>
  <w:style w:type="paragraph" w:styleId="Header">
    <w:name w:val="header"/>
    <w:basedOn w:val="Normal"/>
    <w:link w:val="HeaderChar"/>
    <w:uiPriority w:val="99"/>
    <w:unhideWhenUsed/>
    <w:rsid w:val="00030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B79"/>
  </w:style>
  <w:style w:type="paragraph" w:styleId="Footer">
    <w:name w:val="footer"/>
    <w:basedOn w:val="Normal"/>
    <w:link w:val="FooterChar"/>
    <w:uiPriority w:val="99"/>
    <w:unhideWhenUsed/>
    <w:rsid w:val="00030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EF"/>
    <w:rPr>
      <w:rFonts w:ascii="Tahoma" w:hAnsi="Tahoma" w:cs="Tahoma"/>
      <w:sz w:val="16"/>
      <w:szCs w:val="16"/>
    </w:rPr>
  </w:style>
  <w:style w:type="table" w:styleId="TableGrid">
    <w:name w:val="Table Grid"/>
    <w:basedOn w:val="TableNormal"/>
    <w:uiPriority w:val="59"/>
    <w:rsid w:val="00C8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0B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0B79"/>
    <w:pPr>
      <w:ind w:left="720"/>
      <w:contextualSpacing/>
    </w:pPr>
  </w:style>
  <w:style w:type="character" w:styleId="Hyperlink">
    <w:name w:val="Hyperlink"/>
    <w:basedOn w:val="DefaultParagraphFont"/>
    <w:uiPriority w:val="99"/>
    <w:unhideWhenUsed/>
    <w:rsid w:val="00030B79"/>
    <w:rPr>
      <w:color w:val="0000FF"/>
      <w:u w:val="single"/>
    </w:rPr>
  </w:style>
  <w:style w:type="paragraph" w:styleId="FootnoteText">
    <w:name w:val="footnote text"/>
    <w:basedOn w:val="Normal"/>
    <w:link w:val="FootnoteTextChar"/>
    <w:uiPriority w:val="99"/>
    <w:semiHidden/>
    <w:unhideWhenUsed/>
    <w:rsid w:val="00030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B79"/>
    <w:rPr>
      <w:sz w:val="20"/>
      <w:szCs w:val="20"/>
    </w:rPr>
  </w:style>
  <w:style w:type="character" w:styleId="FootnoteReference">
    <w:name w:val="footnote reference"/>
    <w:basedOn w:val="DefaultParagraphFont"/>
    <w:uiPriority w:val="99"/>
    <w:semiHidden/>
    <w:unhideWhenUsed/>
    <w:rsid w:val="00030B79"/>
    <w:rPr>
      <w:vertAlign w:val="superscript"/>
    </w:rPr>
  </w:style>
  <w:style w:type="paragraph" w:styleId="Header">
    <w:name w:val="header"/>
    <w:basedOn w:val="Normal"/>
    <w:link w:val="HeaderChar"/>
    <w:uiPriority w:val="99"/>
    <w:unhideWhenUsed/>
    <w:rsid w:val="00030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B79"/>
  </w:style>
  <w:style w:type="paragraph" w:styleId="Footer">
    <w:name w:val="footer"/>
    <w:basedOn w:val="Normal"/>
    <w:link w:val="FooterChar"/>
    <w:uiPriority w:val="99"/>
    <w:unhideWhenUsed/>
    <w:rsid w:val="00030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B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england.nhs.uk/learning-disabilities/care" TargetMode="External"/><Relationship Id="rId2" Type="http://schemas.openxmlformats.org/officeDocument/2006/relationships/styles" Target="styles.xml"/><Relationship Id="rId16" Type="http://schemas.openxmlformats.org/officeDocument/2006/relationships/hyperlink" Target="https://www.rcpsych.ac.uk/pdf/STOMP_Faculty_Psychiatry_Intellectual_Disability_(00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1.png@01D214E7.40273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amanda leech</cp:lastModifiedBy>
  <cp:revision>2</cp:revision>
  <cp:lastPrinted>2018-01-29T10:49:00Z</cp:lastPrinted>
  <dcterms:created xsi:type="dcterms:W3CDTF">2018-04-17T15:34:00Z</dcterms:created>
  <dcterms:modified xsi:type="dcterms:W3CDTF">2018-04-17T15:34:00Z</dcterms:modified>
</cp:coreProperties>
</file>